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C3" w:rsidRPr="0011789F" w:rsidRDefault="002D5D3F">
      <w:pPr>
        <w:rPr>
          <w:rFonts w:asciiTheme="majorHAnsi" w:hAnsiTheme="majorHAnsi"/>
        </w:rPr>
      </w:pPr>
      <w:bookmarkStart w:id="0" w:name="_GoBack"/>
      <w:r w:rsidRPr="0011789F">
        <w:rPr>
          <w:rFonts w:asciiTheme="majorHAnsi" w:hAnsiTheme="majorHAnsi"/>
        </w:rPr>
        <w:drawing>
          <wp:inline distT="0" distB="0" distL="0" distR="0" wp14:anchorId="6709C487" wp14:editId="7CC54B47">
            <wp:extent cx="5943600" cy="150272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3F" w:rsidRPr="0011789F" w:rsidRDefault="002D5D3F">
      <w:pPr>
        <w:rPr>
          <w:rFonts w:asciiTheme="majorHAnsi" w:hAnsiTheme="majorHAnsi"/>
        </w:rPr>
      </w:pP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</w:r>
      <w:r w:rsidRPr="0011789F">
        <w:rPr>
          <w:rFonts w:asciiTheme="majorHAnsi" w:hAnsiTheme="majorHAnsi"/>
        </w:rPr>
        <w:tab/>
        <w:t>November 30, 2014</w:t>
      </w:r>
    </w:p>
    <w:p w:rsidR="002D5D3F" w:rsidRPr="0011789F" w:rsidRDefault="002D5D3F" w:rsidP="002D5D3F">
      <w:pPr>
        <w:spacing w:after="0" w:line="240" w:lineRule="auto"/>
        <w:ind w:left="5760" w:firstLine="720"/>
        <w:rPr>
          <w:rFonts w:asciiTheme="majorHAnsi" w:hAnsiTheme="majorHAnsi"/>
        </w:rPr>
      </w:pPr>
      <w:r w:rsidRPr="0011789F">
        <w:rPr>
          <w:rFonts w:asciiTheme="majorHAnsi" w:hAnsiTheme="majorHAnsi"/>
        </w:rPr>
        <w:t>194524.doc</w:t>
      </w:r>
    </w:p>
    <w:p w:rsidR="002D5D3F" w:rsidRPr="0011789F" w:rsidRDefault="002D5D3F" w:rsidP="002D5D3F">
      <w:pPr>
        <w:spacing w:after="0" w:line="240" w:lineRule="auto"/>
        <w:ind w:left="5760" w:firstLine="720"/>
        <w:rPr>
          <w:rFonts w:asciiTheme="majorHAnsi" w:hAnsiTheme="majorHAnsi"/>
        </w:rPr>
      </w:pP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To:</w:t>
      </w: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__________________________</w:t>
      </w: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__________________________</w:t>
      </w: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</w:p>
    <w:p w:rsidR="002D5D3F" w:rsidRPr="0011789F" w:rsidRDefault="002D5D3F" w:rsidP="002D5D3F">
      <w:pPr>
        <w:spacing w:after="0" w:line="240" w:lineRule="auto"/>
        <w:rPr>
          <w:rFonts w:asciiTheme="majorHAnsi" w:hAnsiTheme="majorHAnsi"/>
        </w:rPr>
      </w:pPr>
    </w:p>
    <w:p w:rsidR="002D5D3F" w:rsidRPr="0011789F" w:rsidRDefault="002D5D3F" w:rsidP="002D5D3F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11789F">
        <w:rPr>
          <w:rFonts w:asciiTheme="majorHAnsi" w:hAnsiTheme="majorHAnsi"/>
          <w:b/>
          <w:bCs/>
          <w:u w:val="single"/>
        </w:rPr>
        <w:t>Re: Safety Procedure 07-340</w:t>
      </w:r>
    </w:p>
    <w:p w:rsidR="007D58A0" w:rsidRPr="0011789F" w:rsidRDefault="002D5D3F" w:rsidP="007D58A0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11789F">
        <w:rPr>
          <w:rFonts w:asciiTheme="majorHAnsi" w:hAnsiTheme="majorHAnsi"/>
          <w:b/>
          <w:bCs/>
          <w:u w:val="single"/>
        </w:rPr>
        <w:t xml:space="preserve">Vacating </w:t>
      </w:r>
      <w:r w:rsidR="007D58A0" w:rsidRPr="0011789F">
        <w:rPr>
          <w:rFonts w:asciiTheme="majorHAnsi" w:hAnsiTheme="majorHAnsi"/>
          <w:b/>
          <w:bCs/>
          <w:u w:val="single"/>
        </w:rPr>
        <w:t xml:space="preserve">the </w:t>
      </w:r>
      <w:r w:rsidRPr="0011789F">
        <w:rPr>
          <w:rFonts w:asciiTheme="majorHAnsi" w:hAnsiTheme="majorHAnsi"/>
          <w:b/>
          <w:bCs/>
          <w:u w:val="single"/>
        </w:rPr>
        <w:t>laborator</w:t>
      </w:r>
      <w:r w:rsidR="007D58A0" w:rsidRPr="0011789F">
        <w:rPr>
          <w:rFonts w:asciiTheme="majorHAnsi" w:hAnsiTheme="majorHAnsi"/>
          <w:b/>
          <w:bCs/>
          <w:u w:val="single"/>
        </w:rPr>
        <w:t>y</w:t>
      </w:r>
      <w:r w:rsidRPr="0011789F">
        <w:rPr>
          <w:rFonts w:asciiTheme="majorHAnsi" w:hAnsiTheme="majorHAnsi"/>
          <w:b/>
          <w:bCs/>
          <w:u w:val="single"/>
        </w:rPr>
        <w:t xml:space="preserve"> of </w:t>
      </w:r>
      <w:r w:rsidR="007D58A0" w:rsidRPr="0011789F">
        <w:rPr>
          <w:rFonts w:asciiTheme="majorHAnsi" w:hAnsiTheme="majorHAnsi"/>
          <w:b/>
          <w:bCs/>
          <w:u w:val="single"/>
        </w:rPr>
        <w:t xml:space="preserve">an </w:t>
      </w:r>
      <w:r w:rsidRPr="0011789F">
        <w:rPr>
          <w:rFonts w:asciiTheme="majorHAnsi" w:hAnsiTheme="majorHAnsi"/>
          <w:b/>
          <w:bCs/>
          <w:u w:val="single"/>
        </w:rPr>
        <w:t xml:space="preserve">academic faculty member who leaves/retires from </w:t>
      </w:r>
    </w:p>
    <w:p w:rsidR="002D5D3F" w:rsidRPr="0011789F" w:rsidRDefault="002D5D3F" w:rsidP="007D58A0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11789F">
        <w:rPr>
          <w:rFonts w:asciiTheme="majorHAnsi" w:hAnsiTheme="majorHAnsi"/>
          <w:b/>
          <w:bCs/>
          <w:u w:val="single"/>
        </w:rPr>
        <w:t>Tel Aviv</w:t>
      </w:r>
      <w:r w:rsidRPr="0011789F">
        <w:rPr>
          <w:rFonts w:asciiTheme="majorHAnsi" w:hAnsiTheme="majorHAnsi"/>
        </w:rPr>
        <w:t xml:space="preserve"> </w:t>
      </w:r>
      <w:r w:rsidRPr="0011789F">
        <w:rPr>
          <w:rFonts w:asciiTheme="majorHAnsi" w:hAnsiTheme="majorHAnsi"/>
          <w:b/>
          <w:bCs/>
          <w:u w:val="single"/>
        </w:rPr>
        <w:t>University</w:t>
      </w:r>
    </w:p>
    <w:p w:rsidR="002D5D3F" w:rsidRPr="0011789F" w:rsidRDefault="002D5D3F">
      <w:pPr>
        <w:spacing w:after="0" w:line="240" w:lineRule="auto"/>
        <w:rPr>
          <w:rFonts w:asciiTheme="majorHAnsi" w:hAnsiTheme="majorHAnsi"/>
        </w:rPr>
      </w:pPr>
    </w:p>
    <w:p w:rsidR="00E2487D" w:rsidRPr="0011789F" w:rsidRDefault="00E2487D" w:rsidP="00E248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Attached is safety procedure 07-340 for vacating laboratories of academic faculty members who leave/retire from Tel Aviv University.</w:t>
      </w:r>
    </w:p>
    <w:p w:rsidR="00E2487D" w:rsidRPr="0011789F" w:rsidRDefault="00E2487D" w:rsidP="007D58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The procedure was prepared by the Safety Unit in coordination with Prof. Yoav Henis, Prof. Miki Gurevitz, and in coordination with Mr. Motti Cohen, Tel Aviv University</w:t>
      </w:r>
      <w:r w:rsidR="007D58A0" w:rsidRPr="0011789F">
        <w:rPr>
          <w:rFonts w:asciiTheme="majorHAnsi" w:hAnsiTheme="majorHAnsi"/>
        </w:rPr>
        <w:t>, General Director</w:t>
      </w:r>
      <w:r w:rsidRPr="0011789F">
        <w:rPr>
          <w:rFonts w:asciiTheme="majorHAnsi" w:hAnsiTheme="majorHAnsi"/>
        </w:rPr>
        <w:t>.</w:t>
      </w:r>
    </w:p>
    <w:p w:rsidR="00E2487D" w:rsidRPr="0011789F" w:rsidRDefault="00E2487D" w:rsidP="00E248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The current procedure must be followed as of January 1, 2015.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</w:p>
    <w:p w:rsidR="007D58A0" w:rsidRPr="0011789F" w:rsidRDefault="007D58A0" w:rsidP="00E2487D">
      <w:pPr>
        <w:spacing w:after="0" w:line="240" w:lineRule="auto"/>
        <w:rPr>
          <w:rFonts w:asciiTheme="majorHAnsi" w:hAnsiTheme="majorHAnsi"/>
        </w:rPr>
      </w:pP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Sincerely,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Hadar Rahamim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Director of the Safety Unit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Cc:</w:t>
      </w:r>
    </w:p>
    <w:p w:rsidR="00E2487D" w:rsidRPr="0011789F" w:rsidRDefault="00E2487D" w:rsidP="007D58A0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 xml:space="preserve">Mr. Motti Cohen, </w:t>
      </w:r>
      <w:r w:rsidR="007D58A0" w:rsidRPr="0011789F">
        <w:rPr>
          <w:rFonts w:asciiTheme="majorHAnsi" w:hAnsiTheme="majorHAnsi"/>
        </w:rPr>
        <w:t>General Director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Prof. Yoav Henis, Vice President of Research and Development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Prof. Miki Gurewitz,</w:t>
      </w:r>
      <w:r w:rsidR="007D58A0" w:rsidRPr="0011789F">
        <w:rPr>
          <w:rFonts w:asciiTheme="majorHAnsi" w:hAnsiTheme="majorHAnsi"/>
        </w:rPr>
        <w:t xml:space="preserve"> </w:t>
      </w:r>
      <w:r w:rsidRPr="0011789F">
        <w:rPr>
          <w:rFonts w:asciiTheme="majorHAnsi" w:hAnsiTheme="majorHAnsi"/>
        </w:rPr>
        <w:t>Chair of the University Safety Committee</w:t>
      </w:r>
    </w:p>
    <w:p w:rsidR="00E2487D" w:rsidRPr="0011789F" w:rsidRDefault="00E2487D" w:rsidP="00513A84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 xml:space="preserve">Mr. Haim Hover, Deputy </w:t>
      </w:r>
      <w:r w:rsidR="00513A84" w:rsidRPr="0011789F">
        <w:rPr>
          <w:rFonts w:asciiTheme="majorHAnsi" w:hAnsiTheme="majorHAnsi"/>
        </w:rPr>
        <w:t>Director</w:t>
      </w:r>
      <w:r w:rsidRPr="0011789F">
        <w:rPr>
          <w:rFonts w:asciiTheme="majorHAnsi" w:hAnsiTheme="majorHAnsi"/>
        </w:rPr>
        <w:t xml:space="preserve"> for Human Resources</w:t>
      </w:r>
    </w:p>
    <w:p w:rsidR="00E2487D" w:rsidRPr="0011789F" w:rsidRDefault="00E2487D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 xml:space="preserve">Mr. Arnon Menny, </w:t>
      </w:r>
      <w:r w:rsidR="009B580B" w:rsidRPr="0011789F">
        <w:rPr>
          <w:rFonts w:asciiTheme="majorHAnsi" w:hAnsiTheme="majorHAnsi"/>
        </w:rPr>
        <w:t>Director, Organization and Methods</w:t>
      </w:r>
    </w:p>
    <w:p w:rsidR="009B580B" w:rsidRPr="0011789F" w:rsidRDefault="009B580B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Safety Supervisor, Safety Unit</w:t>
      </w:r>
    </w:p>
    <w:p w:rsidR="009B580B" w:rsidRPr="0011789F" w:rsidRDefault="009B580B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Area heads</w:t>
      </w:r>
    </w:p>
    <w:p w:rsidR="009B580B" w:rsidRPr="0011789F" w:rsidRDefault="009B580B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Assistant directors to the Dean</w:t>
      </w:r>
    </w:p>
    <w:p w:rsidR="000B5C60" w:rsidRPr="0011789F" w:rsidRDefault="009B580B" w:rsidP="00E2487D">
      <w:pPr>
        <w:spacing w:after="0" w:line="240" w:lineRule="auto"/>
        <w:rPr>
          <w:rFonts w:asciiTheme="majorHAnsi" w:hAnsiTheme="majorHAnsi"/>
        </w:rPr>
      </w:pPr>
      <w:r w:rsidRPr="0011789F">
        <w:rPr>
          <w:rFonts w:asciiTheme="majorHAnsi" w:hAnsiTheme="majorHAnsi"/>
        </w:rPr>
        <w:t>Chairs of Safety Committees</w:t>
      </w:r>
    </w:p>
    <w:p w:rsidR="000B5C60" w:rsidRPr="0011789F" w:rsidRDefault="000B5C60" w:rsidP="000B5C60">
      <w:pPr>
        <w:pStyle w:val="Header"/>
        <w:bidi w:val="0"/>
        <w:spacing w:after="60"/>
        <w:rPr>
          <w:szCs w:val="24"/>
          <w:rtl/>
        </w:rPr>
      </w:pPr>
    </w:p>
    <w:p w:rsidR="00513A84" w:rsidRPr="0011789F" w:rsidRDefault="00513A84" w:rsidP="00513A84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11789F">
        <w:rPr>
          <w:rFonts w:ascii="Cambria" w:hAnsi="Cambria"/>
          <w:b/>
          <w:bCs/>
          <w:sz w:val="26"/>
          <w:szCs w:val="26"/>
        </w:rPr>
        <w:t xml:space="preserve">Name of Appendix: </w:t>
      </w:r>
      <w:r w:rsidR="000B5C60" w:rsidRPr="0011789F">
        <w:rPr>
          <w:rFonts w:ascii="Cambria" w:hAnsi="Cambria"/>
          <w:b/>
          <w:bCs/>
          <w:sz w:val="26"/>
          <w:szCs w:val="26"/>
        </w:rPr>
        <w:t xml:space="preserve"> </w:t>
      </w:r>
      <w:r w:rsidRPr="0011789F">
        <w:rPr>
          <w:rFonts w:asciiTheme="majorHAnsi" w:hAnsiTheme="majorHAnsi"/>
          <w:b/>
          <w:bCs/>
          <w:u w:val="single"/>
        </w:rPr>
        <w:t>Vacating the laboratory of an academic faculty member who leaves/retires from Tel Aviv</w:t>
      </w:r>
      <w:r w:rsidRPr="0011789F">
        <w:rPr>
          <w:rFonts w:asciiTheme="majorHAnsi" w:hAnsiTheme="majorHAnsi"/>
        </w:rPr>
        <w:t xml:space="preserve"> </w:t>
      </w:r>
      <w:r w:rsidRPr="0011789F">
        <w:rPr>
          <w:rFonts w:asciiTheme="majorHAnsi" w:hAnsiTheme="majorHAnsi"/>
          <w:b/>
          <w:bCs/>
          <w:u w:val="single"/>
        </w:rPr>
        <w:t>University</w:t>
      </w:r>
    </w:p>
    <w:p w:rsidR="00513A84" w:rsidRPr="0011789F" w:rsidRDefault="00513A84" w:rsidP="00513A84">
      <w:pPr>
        <w:spacing w:after="0" w:line="240" w:lineRule="auto"/>
        <w:jc w:val="center"/>
        <w:rPr>
          <w:rFonts w:ascii="Cambria" w:hAnsi="Cambria"/>
          <w:b/>
          <w:bCs/>
          <w:szCs w:val="24"/>
          <w:u w:val="single"/>
        </w:rPr>
      </w:pPr>
    </w:p>
    <w:p w:rsidR="000B5C60" w:rsidRPr="0011789F" w:rsidRDefault="000B5C60" w:rsidP="00513A84">
      <w:pPr>
        <w:pStyle w:val="ListParagraph"/>
        <w:numPr>
          <w:ilvl w:val="0"/>
          <w:numId w:val="2"/>
        </w:numPr>
        <w:tabs>
          <w:tab w:val="left" w:pos="1843"/>
        </w:tabs>
        <w:ind w:left="567" w:hanging="567"/>
        <w:jc w:val="both"/>
      </w:pPr>
      <w:r w:rsidRPr="0011789F">
        <w:rPr>
          <w:rFonts w:ascii="Cambria" w:hAnsi="Cambria"/>
          <w:b/>
          <w:bCs/>
          <w:szCs w:val="24"/>
          <w:u w:val="single"/>
        </w:rPr>
        <w:t>Background</w:t>
      </w:r>
    </w:p>
    <w:p w:rsidR="000B5C60" w:rsidRPr="0011789F" w:rsidRDefault="00965A01" w:rsidP="00513A84">
      <w:pPr>
        <w:ind w:left="567"/>
        <w:jc w:val="both"/>
        <w:rPr>
          <w:rFonts w:asciiTheme="majorHAnsi" w:hAnsiTheme="majorHAnsi"/>
        </w:rPr>
      </w:pPr>
      <w:r w:rsidRPr="0011789F">
        <w:rPr>
          <w:rFonts w:ascii="Cambria" w:hAnsi="Cambria"/>
          <w:szCs w:val="24"/>
        </w:rPr>
        <w:t xml:space="preserve">This directive determines the procedure for vacating </w:t>
      </w:r>
      <w:r w:rsidRPr="0011789F">
        <w:rPr>
          <w:rFonts w:asciiTheme="majorHAnsi" w:hAnsiTheme="majorHAnsi"/>
        </w:rPr>
        <w:t>laboratories of academic faculty members who leave/retire for any reason whatsoever (for example, retiring, move to another institution, etc.). The purpose is to avoid a collection of hazardous materials that may cause a safety hazard and to enable orderly and risk-free removal.</w:t>
      </w:r>
    </w:p>
    <w:p w:rsidR="00965A01" w:rsidRPr="0011789F" w:rsidRDefault="00965A01" w:rsidP="00513A84">
      <w:pPr>
        <w:pStyle w:val="ListParagraph"/>
        <w:numPr>
          <w:ilvl w:val="0"/>
          <w:numId w:val="2"/>
        </w:numPr>
        <w:tabs>
          <w:tab w:val="left" w:pos="1843"/>
        </w:tabs>
        <w:ind w:left="567" w:hanging="567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b/>
          <w:bCs/>
          <w:szCs w:val="24"/>
          <w:u w:val="single"/>
        </w:rPr>
        <w:t>Definitions</w:t>
      </w:r>
    </w:p>
    <w:p w:rsidR="00965A01" w:rsidRPr="0011789F" w:rsidRDefault="00965A01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b/>
          <w:bCs/>
          <w:szCs w:val="24"/>
          <w:u w:val="single"/>
        </w:rPr>
        <w:t>Hazardous materials</w:t>
      </w:r>
    </w:p>
    <w:p w:rsidR="00965A01" w:rsidRPr="0011789F" w:rsidRDefault="00965A01" w:rsidP="00513A84">
      <w:pPr>
        <w:pStyle w:val="BodyTextIndent"/>
        <w:ind w:left="1418"/>
      </w:pPr>
      <w:r w:rsidRPr="0011789F">
        <w:t>Chemical, physical, biological, radioactive substances that may directly or indirectly cause damage to the healt</w:t>
      </w:r>
      <w:r w:rsidR="00513A84" w:rsidRPr="0011789F">
        <w:t>h</w:t>
      </w:r>
      <w:r w:rsidRPr="0011789F">
        <w:t xml:space="preserve"> of laboratory workers or to the environment.</w:t>
      </w:r>
    </w:p>
    <w:p w:rsidR="00965A01" w:rsidRPr="0011789F" w:rsidRDefault="00965A01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b/>
          <w:bCs/>
          <w:szCs w:val="24"/>
          <w:u w:val="single"/>
        </w:rPr>
        <w:t>Academic faculty member</w:t>
      </w:r>
    </w:p>
    <w:p w:rsidR="009B580B" w:rsidRPr="0011789F" w:rsidRDefault="00965A01" w:rsidP="00513A84">
      <w:pPr>
        <w:pStyle w:val="BodyTextIndent"/>
        <w:ind w:left="1418"/>
      </w:pPr>
      <w:r w:rsidRPr="0011789F">
        <w:t>Any academic faculty member who operated a laboratory as required in the safety regulations.</w:t>
      </w:r>
    </w:p>
    <w:p w:rsidR="008C718C" w:rsidRPr="0011789F" w:rsidRDefault="008C718C" w:rsidP="008C718C">
      <w:pPr>
        <w:spacing w:after="0" w:line="240" w:lineRule="auto"/>
        <w:ind w:left="851"/>
        <w:rPr>
          <w:rFonts w:asciiTheme="majorHAnsi" w:hAnsiTheme="majorHAnsi"/>
        </w:rPr>
      </w:pPr>
    </w:p>
    <w:p w:rsidR="00965A01" w:rsidRPr="0011789F" w:rsidRDefault="008C718C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b/>
          <w:bCs/>
          <w:szCs w:val="24"/>
          <w:u w:val="single"/>
        </w:rPr>
        <w:t>Laboratory</w:t>
      </w:r>
    </w:p>
    <w:p w:rsidR="008C718C" w:rsidRPr="0011789F" w:rsidRDefault="008C718C" w:rsidP="00513A84">
      <w:pPr>
        <w:pStyle w:val="BodyTextIndent"/>
        <w:ind w:left="1418"/>
      </w:pPr>
      <w:r w:rsidRPr="0011789F">
        <w:t>A place w</w:t>
      </w:r>
      <w:r w:rsidR="00513A84" w:rsidRPr="0011789F">
        <w:t>here</w:t>
      </w:r>
      <w:r w:rsidRPr="0011789F">
        <w:t xml:space="preserve"> sampling, tests, analyses, syntheses, experiments, research and development, instruction, study and teaching is performed while using hazardous substances.</w:t>
      </w:r>
    </w:p>
    <w:p w:rsidR="008C718C" w:rsidRPr="0011789F" w:rsidRDefault="008C718C" w:rsidP="008C718C">
      <w:pPr>
        <w:pStyle w:val="ListParagraph"/>
        <w:numPr>
          <w:ilvl w:val="0"/>
          <w:numId w:val="2"/>
        </w:numPr>
        <w:tabs>
          <w:tab w:val="left" w:pos="1843"/>
        </w:tabs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b/>
          <w:bCs/>
          <w:szCs w:val="24"/>
          <w:u w:val="single"/>
        </w:rPr>
        <w:t>Details of the directive and stages</w:t>
      </w:r>
    </w:p>
    <w:p w:rsidR="008C718C" w:rsidRPr="0011789F" w:rsidRDefault="008C718C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szCs w:val="24"/>
        </w:rPr>
        <w:t>At the beginning of each academic year (October), the dean of the faculty will send the faculty department heads a list of academic faculty members who are expected to end their</w:t>
      </w:r>
      <w:r w:rsidR="00513A84" w:rsidRPr="0011789F">
        <w:rPr>
          <w:rFonts w:ascii="Cambria" w:hAnsi="Cambria"/>
          <w:szCs w:val="24"/>
        </w:rPr>
        <w:t xml:space="preserve"> </w:t>
      </w:r>
      <w:r w:rsidRPr="0011789F">
        <w:rPr>
          <w:rFonts w:ascii="Cambria" w:hAnsi="Cambria"/>
          <w:szCs w:val="24"/>
        </w:rPr>
        <w:t>work or to retire that year and will not be continuing with their research after their retirement, or are expected to leave the University permanently for another reason.</w:t>
      </w:r>
    </w:p>
    <w:p w:rsidR="008C718C" w:rsidRPr="0011789F" w:rsidRDefault="008C718C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szCs w:val="24"/>
        </w:rPr>
        <w:t>Upon receipt of the list, the department heads will send to the faculty member who manages the laboratory and is about to leave the procedure for vacating the labor</w:t>
      </w:r>
      <w:r w:rsidR="00513A84" w:rsidRPr="0011789F">
        <w:rPr>
          <w:rFonts w:ascii="Cambria" w:hAnsi="Cambria"/>
          <w:szCs w:val="24"/>
        </w:rPr>
        <w:t>atory</w:t>
      </w:r>
      <w:r w:rsidRPr="0011789F">
        <w:rPr>
          <w:rFonts w:ascii="Cambria" w:hAnsi="Cambria"/>
          <w:szCs w:val="24"/>
        </w:rPr>
        <w:t>, with a copy to the University Safety Unit.</w:t>
      </w:r>
    </w:p>
    <w:p w:rsidR="00EC612B" w:rsidRPr="0011789F" w:rsidRDefault="008C718C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lastRenderedPageBreak/>
        <w:t xml:space="preserve">Upon receiving a copy from the department head, the director of the University Safety Unit will coordinate a safety visit in the presence of the departing academic faculty member, the </w:t>
      </w:r>
      <w:r w:rsidR="00EC612B" w:rsidRPr="0011789F">
        <w:rPr>
          <w:rFonts w:ascii="Cambria" w:hAnsi="Cambria"/>
          <w:szCs w:val="24"/>
        </w:rPr>
        <w:t>chemical safety supervisor and as needed, the biological and/or radiation safety supervisor and a faculty representative.</w:t>
      </w:r>
    </w:p>
    <w:p w:rsidR="00EC612B" w:rsidRPr="0011789F" w:rsidRDefault="00513A84" w:rsidP="00513A84">
      <w:pPr>
        <w:ind w:left="1418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ab/>
      </w:r>
      <w:r w:rsidR="00EC612B" w:rsidRPr="0011789F">
        <w:rPr>
          <w:rFonts w:ascii="Cambria" w:hAnsi="Cambria"/>
          <w:szCs w:val="24"/>
        </w:rPr>
        <w:t>During the visit, the laboratory’s general safety status, hazardous materials, their amount and storage status will be examined.</w:t>
      </w:r>
    </w:p>
    <w:p w:rsidR="00EC612B" w:rsidRPr="0011789F" w:rsidRDefault="00EC612B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>Prior to the visit, an academic faculty member will prepare a list of all hazardous materials including chemicals and radioactive substances that are in the laboratory.</w:t>
      </w:r>
    </w:p>
    <w:p w:rsidR="00EC612B" w:rsidRPr="0011789F" w:rsidRDefault="00EC612B" w:rsidP="00513A84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>The academic faculty member will decide, in coordination with the safety supervisor, on how to handle the hazardous materials and will send him a detailed list of the materials that will be staying in the laboratory for the use of other researchers.</w:t>
      </w:r>
    </w:p>
    <w:p w:rsidR="00477C74" w:rsidRPr="0011789F" w:rsidRDefault="00EC612B" w:rsidP="00D138A0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 xml:space="preserve">No later than two months prior to the </w:t>
      </w:r>
      <w:r w:rsidR="00477C74" w:rsidRPr="0011789F">
        <w:rPr>
          <w:rFonts w:ascii="Cambria" w:hAnsi="Cambria"/>
          <w:szCs w:val="24"/>
        </w:rPr>
        <w:t xml:space="preserve">date for the faculty member’s </w:t>
      </w:r>
      <w:r w:rsidR="001A26FC" w:rsidRPr="0011789F">
        <w:rPr>
          <w:rFonts w:ascii="Cambria" w:hAnsi="Cambria"/>
          <w:szCs w:val="24"/>
        </w:rPr>
        <w:t xml:space="preserve">retirement or </w:t>
      </w:r>
      <w:r w:rsidR="00477C74" w:rsidRPr="0011789F">
        <w:rPr>
          <w:rFonts w:ascii="Cambria" w:hAnsi="Cambria"/>
          <w:szCs w:val="24"/>
        </w:rPr>
        <w:t>departure, the Safety Unit will carry out an estimate of the cost of removing these materials. This cost will be charged to the faculty member’s budget and will be</w:t>
      </w:r>
      <w:r w:rsidR="00D138A0" w:rsidRPr="0011789F">
        <w:rPr>
          <w:rFonts w:ascii="Cambria" w:hAnsi="Cambria"/>
          <w:szCs w:val="24"/>
        </w:rPr>
        <w:t xml:space="preserve"> transferred</w:t>
      </w:r>
      <w:r w:rsidR="00477C74" w:rsidRPr="0011789F">
        <w:rPr>
          <w:rFonts w:ascii="Cambria" w:hAnsi="Cambria"/>
          <w:szCs w:val="24"/>
        </w:rPr>
        <w:t xml:space="preserve"> to the Safety Unit budget.</w:t>
      </w:r>
    </w:p>
    <w:p w:rsidR="00477C74" w:rsidRPr="0011789F" w:rsidRDefault="00477C74" w:rsidP="00D138A0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>Upon vacating the laboratory, the hazardous materials will be removed by the companies that work with the Un</w:t>
      </w:r>
      <w:r w:rsidR="00D138A0" w:rsidRPr="0011789F">
        <w:rPr>
          <w:rFonts w:ascii="Cambria" w:hAnsi="Cambria"/>
          <w:szCs w:val="24"/>
        </w:rPr>
        <w:t>i</w:t>
      </w:r>
      <w:r w:rsidRPr="0011789F">
        <w:rPr>
          <w:rFonts w:ascii="Cambria" w:hAnsi="Cambria"/>
          <w:szCs w:val="24"/>
        </w:rPr>
        <w:t>versity.</w:t>
      </w:r>
    </w:p>
    <w:p w:rsidR="00477C74" w:rsidRPr="0011789F" w:rsidRDefault="00477C74" w:rsidP="00D138A0">
      <w:pPr>
        <w:pStyle w:val="ListParagraph"/>
        <w:numPr>
          <w:ilvl w:val="0"/>
          <w:numId w:val="2"/>
        </w:numPr>
        <w:tabs>
          <w:tab w:val="left" w:pos="1843"/>
        </w:tabs>
        <w:ind w:left="567" w:hanging="567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b/>
          <w:bCs/>
          <w:szCs w:val="24"/>
          <w:u w:val="single"/>
        </w:rPr>
        <w:t>Responsibility</w:t>
      </w:r>
    </w:p>
    <w:p w:rsidR="00477C74" w:rsidRPr="0011789F" w:rsidRDefault="00477C74" w:rsidP="00D138A0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>The department head is responsible for notifying in writing and sending this form to the faculty member who is head of the laboratory as soon as possible (up to a year) prior to the date that activity will cease in the laboratory (in the event of a person retiring who will not continue to conduct research at the University, one year prior to his retirement).</w:t>
      </w:r>
    </w:p>
    <w:p w:rsidR="00EC612B" w:rsidRPr="0011789F" w:rsidRDefault="00477C74" w:rsidP="00D138A0">
      <w:pPr>
        <w:pStyle w:val="ListParagraph"/>
        <w:numPr>
          <w:ilvl w:val="1"/>
          <w:numId w:val="2"/>
        </w:numPr>
        <w:tabs>
          <w:tab w:val="left" w:pos="1843"/>
        </w:tabs>
        <w:ind w:left="1418" w:hanging="851"/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>Safety Unit Director – is responsible for handling the hazardous materials and estimating the cost of their removal.</w:t>
      </w:r>
      <w:r w:rsidR="001A26FC" w:rsidRPr="0011789F">
        <w:rPr>
          <w:rFonts w:ascii="Cambria" w:hAnsi="Cambria"/>
          <w:szCs w:val="24"/>
        </w:rPr>
        <w:t xml:space="preserve"> </w:t>
      </w:r>
    </w:p>
    <w:p w:rsidR="00EC612B" w:rsidRPr="0011789F" w:rsidRDefault="00EC612B" w:rsidP="00EC612B">
      <w:pPr>
        <w:tabs>
          <w:tab w:val="left" w:pos="1843"/>
        </w:tabs>
        <w:jc w:val="both"/>
        <w:rPr>
          <w:rFonts w:ascii="Cambria" w:hAnsi="Cambria"/>
          <w:szCs w:val="24"/>
        </w:rPr>
      </w:pPr>
      <w:r w:rsidRPr="0011789F">
        <w:rPr>
          <w:rFonts w:ascii="Cambria" w:hAnsi="Cambria"/>
          <w:szCs w:val="24"/>
        </w:rPr>
        <w:tab/>
      </w:r>
    </w:p>
    <w:p w:rsidR="008C718C" w:rsidRPr="0011789F" w:rsidRDefault="00EC612B" w:rsidP="00EC612B">
      <w:pPr>
        <w:tabs>
          <w:tab w:val="left" w:pos="1843"/>
        </w:tabs>
        <w:jc w:val="both"/>
        <w:rPr>
          <w:rFonts w:ascii="Cambria" w:hAnsi="Cambria"/>
          <w:b/>
          <w:bCs/>
          <w:szCs w:val="24"/>
          <w:u w:val="single"/>
        </w:rPr>
      </w:pPr>
      <w:r w:rsidRPr="0011789F">
        <w:rPr>
          <w:rFonts w:ascii="Cambria" w:hAnsi="Cambria"/>
          <w:szCs w:val="24"/>
        </w:rPr>
        <w:tab/>
        <w:t xml:space="preserve"> </w:t>
      </w:r>
      <w:r w:rsidR="008C718C" w:rsidRPr="0011789F">
        <w:rPr>
          <w:rFonts w:ascii="Cambria" w:hAnsi="Cambria"/>
          <w:szCs w:val="24"/>
        </w:rPr>
        <w:t xml:space="preserve"> </w:t>
      </w:r>
    </w:p>
    <w:p w:rsidR="008C718C" w:rsidRPr="0011789F" w:rsidRDefault="008C718C" w:rsidP="008C718C">
      <w:pPr>
        <w:ind w:left="851"/>
        <w:jc w:val="both"/>
        <w:rPr>
          <w:rFonts w:asciiTheme="majorHAnsi" w:hAnsiTheme="majorHAnsi"/>
        </w:rPr>
      </w:pPr>
    </w:p>
    <w:p w:rsidR="008C718C" w:rsidRPr="0011789F" w:rsidRDefault="008C718C" w:rsidP="008C718C">
      <w:pPr>
        <w:ind w:left="426" w:firstLine="425"/>
        <w:jc w:val="both"/>
        <w:rPr>
          <w:rFonts w:asciiTheme="majorHAnsi" w:hAnsiTheme="majorHAnsi"/>
        </w:rPr>
      </w:pPr>
      <w:r w:rsidRPr="0011789F">
        <w:rPr>
          <w:rFonts w:asciiTheme="majorHAnsi" w:hAnsiTheme="majorHAnsi"/>
        </w:rPr>
        <w:tab/>
      </w:r>
      <w:bookmarkEnd w:id="0"/>
    </w:p>
    <w:sectPr w:rsidR="008C718C" w:rsidRPr="0011789F" w:rsidSect="000B5C6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9E" w:rsidRDefault="00CD4B9E" w:rsidP="000B5C60">
      <w:pPr>
        <w:spacing w:after="0" w:line="240" w:lineRule="auto"/>
      </w:pPr>
      <w:r>
        <w:separator/>
      </w:r>
    </w:p>
  </w:endnote>
  <w:endnote w:type="continuationSeparator" w:id="0">
    <w:p w:rsidR="00CD4B9E" w:rsidRDefault="00CD4B9E" w:rsidP="000B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9E" w:rsidRDefault="00CD4B9E" w:rsidP="000B5C60">
      <w:pPr>
        <w:spacing w:after="0" w:line="240" w:lineRule="auto"/>
      </w:pPr>
      <w:r>
        <w:separator/>
      </w:r>
    </w:p>
  </w:footnote>
  <w:footnote w:type="continuationSeparator" w:id="0">
    <w:p w:rsidR="00CD4B9E" w:rsidRDefault="00CD4B9E" w:rsidP="000B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C60" w:rsidRPr="00485037" w:rsidRDefault="000B5C60" w:rsidP="000B5C60">
    <w:pPr>
      <w:pStyle w:val="Header"/>
      <w:bidi w:val="0"/>
      <w:jc w:val="center"/>
      <w:rPr>
        <w:rFonts w:ascii="Cambria" w:hAnsi="Cambria"/>
        <w:b/>
        <w:bCs/>
        <w:sz w:val="26"/>
        <w:szCs w:val="26"/>
      </w:rPr>
    </w:pPr>
    <w:r w:rsidRPr="00485037">
      <w:rPr>
        <w:rFonts w:ascii="Cambria" w:hAnsi="Cambria"/>
        <w:b/>
        <w:bCs/>
        <w:sz w:val="26"/>
        <w:szCs w:val="26"/>
      </w:rPr>
      <w:t>Tel Aviv University</w:t>
    </w:r>
  </w:p>
  <w:p w:rsidR="000B5C60" w:rsidRPr="00485037" w:rsidRDefault="000B5C60" w:rsidP="000B5C60">
    <w:pPr>
      <w:pStyle w:val="Header"/>
      <w:bidi w:val="0"/>
      <w:jc w:val="center"/>
      <w:rPr>
        <w:rFonts w:ascii="Cambria" w:hAnsi="Cambria"/>
        <w:sz w:val="24"/>
        <w:szCs w:val="24"/>
      </w:rPr>
    </w:pPr>
    <w:r w:rsidRPr="00485037">
      <w:rPr>
        <w:rFonts w:ascii="Cambria" w:hAnsi="Cambria"/>
        <w:sz w:val="24"/>
        <w:szCs w:val="24"/>
      </w:rPr>
      <w:t>Safety Unit</w:t>
    </w:r>
  </w:p>
  <w:p w:rsidR="000B5C60" w:rsidRPr="00485037" w:rsidRDefault="000B5C60" w:rsidP="000B5C60">
    <w:pPr>
      <w:pStyle w:val="Header"/>
      <w:bidi w:val="0"/>
      <w:rPr>
        <w:rFonts w:ascii="Cambria" w:hAnsi="Cambria"/>
        <w:szCs w:val="24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989"/>
      <w:gridCol w:w="1129"/>
      <w:gridCol w:w="386"/>
      <w:gridCol w:w="2007"/>
      <w:gridCol w:w="287"/>
      <w:gridCol w:w="1542"/>
    </w:tblGrid>
    <w:tr w:rsidR="000B5C60" w:rsidRPr="00485037" w:rsidTr="0007457E">
      <w:trPr>
        <w:jc w:val="center"/>
      </w:trPr>
      <w:tc>
        <w:tcPr>
          <w:tcW w:w="3256" w:type="dxa"/>
        </w:tcPr>
        <w:p w:rsidR="000B5C60" w:rsidRPr="00485037" w:rsidRDefault="000B5C60" w:rsidP="0007457E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 w:rsidRPr="00485037">
            <w:rPr>
              <w:rFonts w:ascii="Cambria" w:hAnsi="Cambria"/>
              <w:b/>
              <w:bCs/>
              <w:sz w:val="28"/>
              <w:szCs w:val="28"/>
              <w:u w:val="single"/>
            </w:rPr>
            <w:t>Safety Directives</w:t>
          </w:r>
        </w:p>
      </w:tc>
      <w:tc>
        <w:tcPr>
          <w:tcW w:w="997" w:type="dxa"/>
        </w:tcPr>
        <w:p w:rsidR="000B5C60" w:rsidRPr="00485037" w:rsidRDefault="000B5C60" w:rsidP="0007457E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523" w:type="dxa"/>
          <w:gridSpan w:val="2"/>
        </w:tcPr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  <w:r w:rsidRPr="00485037">
            <w:rPr>
              <w:rFonts w:ascii="Cambria" w:hAnsi="Cambria"/>
              <w:b/>
              <w:bCs/>
              <w:u w:val="single"/>
            </w:rPr>
            <w:t xml:space="preserve">Page No. 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begin"/>
          </w:r>
          <w:r w:rsidRPr="00485037">
            <w:rPr>
              <w:rFonts w:ascii="Cambria" w:hAnsi="Cambria"/>
              <w:b/>
              <w:bCs/>
              <w:u w:val="single"/>
            </w:rPr>
            <w:instrText xml:space="preserve"> PAGE   \* MERGEFORMAT </w:instrText>
          </w:r>
          <w:r w:rsidRPr="00485037">
            <w:rPr>
              <w:rFonts w:ascii="Cambria" w:hAnsi="Cambria"/>
              <w:b/>
              <w:bCs/>
              <w:u w:val="single"/>
            </w:rPr>
            <w:fldChar w:fldCharType="separate"/>
          </w:r>
          <w:r w:rsidR="0011789F">
            <w:rPr>
              <w:rFonts w:ascii="Cambria" w:hAnsi="Cambria"/>
              <w:b/>
              <w:bCs/>
              <w:noProof/>
              <w:u w:val="single"/>
            </w:rPr>
            <w:t>2</w:t>
          </w:r>
          <w:r w:rsidRPr="00485037">
            <w:rPr>
              <w:rFonts w:ascii="Cambria" w:hAnsi="Cambria"/>
              <w:b/>
              <w:bCs/>
              <w:u w:val="single"/>
            </w:rPr>
            <w:fldChar w:fldCharType="end"/>
          </w:r>
        </w:p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 xml:space="preserve">Of </w:t>
          </w:r>
          <w:r w:rsidRPr="00485037">
            <w:rPr>
              <w:rFonts w:ascii="Cambria" w:hAnsi="Cambria"/>
            </w:rPr>
            <w:fldChar w:fldCharType="begin"/>
          </w:r>
          <w:r w:rsidRPr="00485037">
            <w:rPr>
              <w:rFonts w:ascii="Cambria" w:hAnsi="Cambria"/>
            </w:rPr>
            <w:instrText xml:space="preserve"> NUMPAGES   \* MERGEFORMAT </w:instrText>
          </w:r>
          <w:r w:rsidRPr="00485037">
            <w:rPr>
              <w:rFonts w:ascii="Cambria" w:hAnsi="Cambria"/>
            </w:rPr>
            <w:fldChar w:fldCharType="separate"/>
          </w:r>
          <w:r w:rsidR="0011789F">
            <w:rPr>
              <w:rFonts w:ascii="Cambria" w:hAnsi="Cambria"/>
              <w:noProof/>
            </w:rPr>
            <w:t>3</w:t>
          </w:r>
          <w:r w:rsidRPr="00485037">
            <w:rPr>
              <w:rFonts w:ascii="Cambria" w:hAnsi="Cambria"/>
            </w:rPr>
            <w:fldChar w:fldCharType="end"/>
          </w:r>
        </w:p>
      </w:tc>
      <w:tc>
        <w:tcPr>
          <w:tcW w:w="2016" w:type="dxa"/>
        </w:tcPr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Date published</w:t>
          </w:r>
        </w:p>
        <w:p w:rsidR="000B5C60" w:rsidRPr="00485037" w:rsidRDefault="000B5C60" w:rsidP="000B5C60">
          <w:pPr>
            <w:pStyle w:val="Header"/>
            <w:bidi w:val="0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December 2014</w:t>
          </w:r>
        </w:p>
      </w:tc>
      <w:tc>
        <w:tcPr>
          <w:tcW w:w="1836" w:type="dxa"/>
          <w:gridSpan w:val="2"/>
        </w:tcPr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  <w:b/>
              <w:bCs/>
            </w:rPr>
          </w:pPr>
          <w:r w:rsidRPr="00485037">
            <w:rPr>
              <w:rFonts w:ascii="Cambria" w:hAnsi="Cambria"/>
              <w:b/>
              <w:bCs/>
              <w:u w:val="single"/>
            </w:rPr>
            <w:t>Directive No.</w:t>
          </w:r>
        </w:p>
        <w:p w:rsidR="000B5C60" w:rsidRPr="00485037" w:rsidRDefault="000B5C60" w:rsidP="000B5C60">
          <w:pPr>
            <w:pStyle w:val="Header"/>
            <w:bidi w:val="0"/>
            <w:jc w:val="center"/>
            <w:rPr>
              <w:rFonts w:ascii="Cambria" w:hAnsi="Cambria"/>
            </w:rPr>
          </w:pPr>
          <w:r w:rsidRPr="00485037">
            <w:rPr>
              <w:rFonts w:ascii="Cambria" w:hAnsi="Cambria"/>
            </w:rPr>
            <w:t>07-</w:t>
          </w:r>
          <w:r>
            <w:rPr>
              <w:rFonts w:ascii="Cambria" w:hAnsi="Cambria"/>
            </w:rPr>
            <w:t>340</w:t>
          </w:r>
        </w:p>
      </w:tc>
    </w:tr>
    <w:tr w:rsidR="000B5C60" w:rsidRPr="00485037" w:rsidTr="0007457E">
      <w:trPr>
        <w:jc w:val="center"/>
      </w:trPr>
      <w:tc>
        <w:tcPr>
          <w:tcW w:w="3256" w:type="dxa"/>
          <w:tcBorders>
            <w:bottom w:val="single" w:sz="4" w:space="0" w:color="auto"/>
          </w:tcBorders>
        </w:tcPr>
        <w:p w:rsidR="000B5C60" w:rsidRPr="00485037" w:rsidRDefault="000B5C60" w:rsidP="0007457E">
          <w:pPr>
            <w:pStyle w:val="Header"/>
            <w:bidi w:val="0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</w:p>
      </w:tc>
      <w:tc>
        <w:tcPr>
          <w:tcW w:w="997" w:type="dxa"/>
          <w:tcBorders>
            <w:bottom w:val="single" w:sz="4" w:space="0" w:color="auto"/>
          </w:tcBorders>
        </w:tcPr>
        <w:p w:rsidR="000B5C60" w:rsidRPr="00485037" w:rsidRDefault="000B5C60" w:rsidP="0007457E">
          <w:pPr>
            <w:pStyle w:val="Header"/>
            <w:bidi w:val="0"/>
            <w:rPr>
              <w:rFonts w:ascii="Cambria" w:hAnsi="Cambria"/>
              <w:b/>
              <w:bCs/>
            </w:rPr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</w:p>
      </w:tc>
      <w:tc>
        <w:tcPr>
          <w:tcW w:w="2693" w:type="dxa"/>
          <w:gridSpan w:val="3"/>
          <w:tcBorders>
            <w:bottom w:val="single" w:sz="4" w:space="0" w:color="auto"/>
          </w:tcBorders>
        </w:tcPr>
        <w:p w:rsidR="000B5C60" w:rsidRPr="00425A74" w:rsidRDefault="000B5C60" w:rsidP="0007457E">
          <w:pPr>
            <w:pStyle w:val="Header"/>
            <w:bidi w:val="0"/>
            <w:jc w:val="center"/>
            <w:rPr>
              <w:rFonts w:ascii="Cambria" w:hAnsi="Cambria"/>
            </w:rPr>
          </w:pPr>
        </w:p>
      </w:tc>
      <w:tc>
        <w:tcPr>
          <w:tcW w:w="1548" w:type="dxa"/>
          <w:tcBorders>
            <w:bottom w:val="single" w:sz="4" w:space="0" w:color="auto"/>
          </w:tcBorders>
        </w:tcPr>
        <w:p w:rsidR="000B5C60" w:rsidRPr="00485037" w:rsidRDefault="000B5C60" w:rsidP="0007457E">
          <w:pPr>
            <w:pStyle w:val="Header"/>
            <w:bidi w:val="0"/>
            <w:jc w:val="center"/>
            <w:rPr>
              <w:rFonts w:ascii="Cambria" w:hAnsi="Cambria"/>
              <w:b/>
              <w:bCs/>
              <w:u w:val="single"/>
            </w:rPr>
          </w:pPr>
        </w:p>
      </w:tc>
    </w:tr>
    <w:tr w:rsidR="000B5C60" w:rsidRPr="00485037" w:rsidTr="0007457E">
      <w:trPr>
        <w:jc w:val="center"/>
      </w:trPr>
      <w:tc>
        <w:tcPr>
          <w:tcW w:w="9628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0B5C60" w:rsidRPr="00485037" w:rsidRDefault="000B5C60" w:rsidP="0007457E">
          <w:pPr>
            <w:pStyle w:val="Header"/>
            <w:tabs>
              <w:tab w:val="right" w:pos="6117"/>
            </w:tabs>
            <w:bidi w:val="0"/>
            <w:spacing w:before="120" w:after="120"/>
            <w:rPr>
              <w:rFonts w:ascii="Cambria" w:hAnsi="Cambria"/>
              <w:u w:val="single"/>
            </w:rPr>
          </w:pPr>
          <w:r w:rsidRPr="00485037">
            <w:rPr>
              <w:rFonts w:ascii="Cambria" w:hAnsi="Cambria"/>
              <w:b/>
              <w:bCs/>
            </w:rPr>
            <w:t>Name of Directive:</w:t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</w:rPr>
            <w:tab/>
          </w:r>
          <w:r w:rsidRPr="00485037">
            <w:rPr>
              <w:rFonts w:ascii="Cambria" w:hAnsi="Cambria"/>
              <w:b/>
              <w:bCs/>
              <w:sz w:val="26"/>
              <w:szCs w:val="26"/>
            </w:rPr>
            <w:t>University Safety</w:t>
          </w:r>
        </w:p>
      </w:tc>
    </w:tr>
  </w:tbl>
  <w:p w:rsidR="000B5C60" w:rsidRDefault="000B5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741"/>
    <w:multiLevelType w:val="hybridMultilevel"/>
    <w:tmpl w:val="ADBC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0D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7"/>
    <w:rsid w:val="000947F9"/>
    <w:rsid w:val="000B5C60"/>
    <w:rsid w:val="0011789F"/>
    <w:rsid w:val="001A26FC"/>
    <w:rsid w:val="002D5D3F"/>
    <w:rsid w:val="003207FA"/>
    <w:rsid w:val="003C6F77"/>
    <w:rsid w:val="00477C74"/>
    <w:rsid w:val="00513A84"/>
    <w:rsid w:val="00520419"/>
    <w:rsid w:val="007D58A0"/>
    <w:rsid w:val="00866790"/>
    <w:rsid w:val="008C718C"/>
    <w:rsid w:val="00921EB6"/>
    <w:rsid w:val="00965A01"/>
    <w:rsid w:val="009A33C3"/>
    <w:rsid w:val="009B580B"/>
    <w:rsid w:val="009F4521"/>
    <w:rsid w:val="00BE2680"/>
    <w:rsid w:val="00C223C3"/>
    <w:rsid w:val="00CD4B9E"/>
    <w:rsid w:val="00D138A0"/>
    <w:rsid w:val="00DA6D75"/>
    <w:rsid w:val="00E16CF3"/>
    <w:rsid w:val="00E2487D"/>
    <w:rsid w:val="00E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theme="minorBidi"/>
        <w:sz w:val="24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A84"/>
    <w:pPr>
      <w:keepNext/>
      <w:spacing w:after="0" w:line="240" w:lineRule="auto"/>
      <w:outlineLvl w:val="0"/>
    </w:pPr>
    <w:rPr>
      <w:rFonts w:ascii="Cambria" w:hAnsi="Cambria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5C60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2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0B5C60"/>
    <w:rPr>
      <w:rFonts w:ascii="Times New Roman" w:hAnsi="Times New Roman" w:cs="David"/>
      <w:sz w:val="22"/>
      <w:lang w:eastAsia="he-IL"/>
    </w:rPr>
  </w:style>
  <w:style w:type="table" w:styleId="TableGrid">
    <w:name w:val="Table Grid"/>
    <w:basedOn w:val="TableNormal"/>
    <w:uiPriority w:val="39"/>
    <w:rsid w:val="000B5C60"/>
    <w:pPr>
      <w:spacing w:after="0" w:line="240" w:lineRule="auto"/>
    </w:pPr>
    <w:rPr>
      <w:rFonts w:ascii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60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965A01"/>
    <w:pPr>
      <w:tabs>
        <w:tab w:val="left" w:pos="1843"/>
      </w:tabs>
      <w:ind w:left="720"/>
      <w:jc w:val="both"/>
    </w:pPr>
    <w:rPr>
      <w:rFonts w:ascii="Cambria" w:hAnsi="Cambria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5A01"/>
    <w:rPr>
      <w:rFonts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C718C"/>
    <w:pPr>
      <w:spacing w:after="0" w:line="240" w:lineRule="auto"/>
      <w:ind w:left="851"/>
    </w:pPr>
    <w:rPr>
      <w:rFonts w:asciiTheme="majorHAnsi" w:hAnsiTheme="maj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718C"/>
    <w:rPr>
      <w:rFonts w:asciiTheme="majorHAnsi" w:hAnsiTheme="majorHAns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718C"/>
    <w:pPr>
      <w:ind w:left="851"/>
      <w:jc w:val="both"/>
    </w:pPr>
    <w:rPr>
      <w:rFonts w:asciiTheme="majorHAnsi" w:hAnsiTheme="maj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718C"/>
    <w:rPr>
      <w:rFonts w:asciiTheme="majorHAnsi" w:hAnsiTheme="maj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3A84"/>
    <w:rPr>
      <w:rFonts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theme="minorBidi"/>
        <w:sz w:val="24"/>
        <w:szCs w:val="22"/>
        <w:lang w:val="en-US" w:eastAsia="en-US" w:bidi="he-IL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A84"/>
    <w:pPr>
      <w:keepNext/>
      <w:spacing w:after="0" w:line="240" w:lineRule="auto"/>
      <w:outlineLvl w:val="0"/>
    </w:pPr>
    <w:rPr>
      <w:rFonts w:ascii="Cambria" w:hAnsi="Cambria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5C60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2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0B5C60"/>
    <w:rPr>
      <w:rFonts w:ascii="Times New Roman" w:hAnsi="Times New Roman" w:cs="David"/>
      <w:sz w:val="22"/>
      <w:lang w:eastAsia="he-IL"/>
    </w:rPr>
  </w:style>
  <w:style w:type="table" w:styleId="TableGrid">
    <w:name w:val="Table Grid"/>
    <w:basedOn w:val="TableNormal"/>
    <w:uiPriority w:val="39"/>
    <w:rsid w:val="000B5C60"/>
    <w:pPr>
      <w:spacing w:after="0" w:line="240" w:lineRule="auto"/>
    </w:pPr>
    <w:rPr>
      <w:rFonts w:asciiTheme="minorHAnsi" w:hAnsi="Times New Roman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B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60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965A01"/>
    <w:pPr>
      <w:tabs>
        <w:tab w:val="left" w:pos="1843"/>
      </w:tabs>
      <w:ind w:left="720"/>
      <w:jc w:val="both"/>
    </w:pPr>
    <w:rPr>
      <w:rFonts w:ascii="Cambria" w:hAnsi="Cambria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65A01"/>
    <w:rPr>
      <w:rFonts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C718C"/>
    <w:pPr>
      <w:spacing w:after="0" w:line="240" w:lineRule="auto"/>
      <w:ind w:left="851"/>
    </w:pPr>
    <w:rPr>
      <w:rFonts w:asciiTheme="majorHAnsi" w:hAnsiTheme="maj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718C"/>
    <w:rPr>
      <w:rFonts w:asciiTheme="majorHAnsi" w:hAnsiTheme="majorHAns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C718C"/>
    <w:pPr>
      <w:ind w:left="851"/>
      <w:jc w:val="both"/>
    </w:pPr>
    <w:rPr>
      <w:rFonts w:asciiTheme="majorHAnsi" w:hAnsiTheme="majorHAns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C718C"/>
    <w:rPr>
      <w:rFonts w:asciiTheme="majorHAnsi" w:hAnsiTheme="maj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13A84"/>
    <w:rPr>
      <w:rFonts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Sagir</dc:creator>
  <cp:lastModifiedBy>Michele Sagir</cp:lastModifiedBy>
  <cp:revision>4</cp:revision>
  <dcterms:created xsi:type="dcterms:W3CDTF">2020-12-21T13:31:00Z</dcterms:created>
  <dcterms:modified xsi:type="dcterms:W3CDTF">2020-12-26T15:29:00Z</dcterms:modified>
</cp:coreProperties>
</file>