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916"/>
      </w:tblGrid>
      <w:tr w:rsidR="0073061C" w:rsidRPr="0027797C" w:rsidTr="00D67A54">
        <w:tc>
          <w:tcPr>
            <w:tcW w:w="1985" w:type="dxa"/>
          </w:tcPr>
          <w:p w:rsidR="0073061C" w:rsidRPr="0027797C" w:rsidRDefault="0073061C" w:rsidP="0073061C">
            <w:pPr>
              <w:pStyle w:val="Header"/>
              <w:tabs>
                <w:tab w:val="left" w:pos="1701"/>
              </w:tabs>
              <w:bidi w:val="0"/>
              <w:rPr>
                <w:rFonts w:asciiTheme="majorHAnsi" w:hAnsiTheme="majorHAnsi"/>
                <w:szCs w:val="24"/>
              </w:rPr>
            </w:pPr>
            <w:r w:rsidRPr="0027797C">
              <w:rPr>
                <w:rFonts w:asciiTheme="majorHAnsi" w:hAnsiTheme="majorHAnsi"/>
                <w:szCs w:val="24"/>
              </w:rPr>
              <w:t>Name of appendix:</w:t>
            </w:r>
          </w:p>
        </w:tc>
        <w:tc>
          <w:tcPr>
            <w:tcW w:w="7483" w:type="dxa"/>
            <w:gridSpan w:val="2"/>
          </w:tcPr>
          <w:p w:rsidR="0073061C" w:rsidRPr="0027797C" w:rsidRDefault="00560348" w:rsidP="00560348">
            <w:pPr>
              <w:tabs>
                <w:tab w:val="left" w:pos="1843"/>
              </w:tabs>
              <w:bidi w:val="0"/>
              <w:spacing w:after="120" w:line="276" w:lineRule="auto"/>
              <w:ind w:left="1843" w:hanging="1843"/>
              <w:jc w:val="both"/>
              <w:rPr>
                <w:rFonts w:ascii="Cambria" w:hAnsi="Cambria"/>
              </w:rPr>
            </w:pPr>
            <w:r w:rsidRPr="0027797C">
              <w:rPr>
                <w:rFonts w:ascii="Cambria" w:hAnsi="Cambria"/>
                <w:b/>
                <w:bCs/>
                <w:u w:val="single"/>
              </w:rPr>
              <w:t>Safety at archaeological work sites</w:t>
            </w:r>
          </w:p>
          <w:p w:rsidR="0073061C" w:rsidRPr="0027797C" w:rsidRDefault="0073061C" w:rsidP="00D967AE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Cs w:val="24"/>
              </w:rPr>
            </w:pPr>
          </w:p>
        </w:tc>
      </w:tr>
      <w:tr w:rsidR="00D967AE" w:rsidRPr="0027797C" w:rsidTr="001D1D69">
        <w:tc>
          <w:tcPr>
            <w:tcW w:w="1985" w:type="dxa"/>
          </w:tcPr>
          <w:p w:rsidR="00D967AE" w:rsidRPr="0027797C" w:rsidRDefault="00D967AE" w:rsidP="00D967AE">
            <w:pPr>
              <w:pStyle w:val="Header"/>
              <w:tabs>
                <w:tab w:val="left" w:pos="1701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General</w:t>
            </w:r>
          </w:p>
        </w:tc>
        <w:tc>
          <w:tcPr>
            <w:tcW w:w="567" w:type="dxa"/>
          </w:tcPr>
          <w:p w:rsidR="00D967AE" w:rsidRPr="0027797C" w:rsidRDefault="00D967AE" w:rsidP="00D967AE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916" w:type="dxa"/>
          </w:tcPr>
          <w:p w:rsidR="00D967AE" w:rsidRPr="0027797C" w:rsidRDefault="00560348" w:rsidP="008452B5">
            <w:pPr>
              <w:bidi w:val="0"/>
              <w:rPr>
                <w:rFonts w:asciiTheme="majorHAnsi" w:hAnsiTheme="majorHAnsi"/>
                <w:sz w:val="24"/>
              </w:rPr>
            </w:pPr>
            <w:r w:rsidRPr="0027797C">
              <w:rPr>
                <w:rFonts w:asciiTheme="majorHAnsi" w:hAnsiTheme="majorHAnsi"/>
                <w:sz w:val="24"/>
              </w:rPr>
              <w:t xml:space="preserve">Each </w:t>
            </w:r>
            <w:r w:rsidR="008452B5" w:rsidRPr="0027797C">
              <w:rPr>
                <w:rFonts w:asciiTheme="majorHAnsi" w:hAnsiTheme="majorHAnsi"/>
                <w:sz w:val="24"/>
              </w:rPr>
              <w:t xml:space="preserve">main </w:t>
            </w:r>
            <w:r w:rsidRPr="0027797C">
              <w:rPr>
                <w:rFonts w:asciiTheme="majorHAnsi" w:hAnsiTheme="majorHAnsi"/>
                <w:sz w:val="24"/>
              </w:rPr>
              <w:t>group</w:t>
            </w:r>
            <w:r w:rsidR="008452B5" w:rsidRPr="0027797C">
              <w:rPr>
                <w:rFonts w:asciiTheme="majorHAnsi" w:hAnsiTheme="majorHAnsi"/>
                <w:sz w:val="24"/>
              </w:rPr>
              <w:t xml:space="preserve"> may</w:t>
            </w:r>
            <w:r w:rsidRPr="0027797C">
              <w:rPr>
                <w:rFonts w:asciiTheme="majorHAnsi" w:hAnsiTheme="majorHAnsi"/>
                <w:sz w:val="24"/>
              </w:rPr>
              <w:t xml:space="preserve"> work at an archaeological site only after</w:t>
            </w:r>
            <w:r w:rsidR="008452B5" w:rsidRPr="0027797C">
              <w:rPr>
                <w:rFonts w:asciiTheme="majorHAnsi" w:hAnsiTheme="majorHAnsi"/>
                <w:sz w:val="24"/>
              </w:rPr>
              <w:t xml:space="preserve"> a group leader has been appointed by </w:t>
            </w:r>
            <w:r w:rsidRPr="0027797C">
              <w:rPr>
                <w:rFonts w:asciiTheme="majorHAnsi" w:hAnsiTheme="majorHAnsi"/>
                <w:sz w:val="24"/>
              </w:rPr>
              <w:t xml:space="preserve">the Department of Archaeology and after </w:t>
            </w:r>
            <w:r w:rsidR="008452B5" w:rsidRPr="0027797C">
              <w:rPr>
                <w:rFonts w:asciiTheme="majorHAnsi" w:hAnsiTheme="majorHAnsi"/>
                <w:sz w:val="24"/>
              </w:rPr>
              <w:t xml:space="preserve">administrative </w:t>
            </w:r>
            <w:r w:rsidRPr="0027797C">
              <w:rPr>
                <w:rFonts w:asciiTheme="majorHAnsi" w:hAnsiTheme="majorHAnsi"/>
                <w:sz w:val="24"/>
              </w:rPr>
              <w:t xml:space="preserve">arrangements have been </w:t>
            </w:r>
            <w:r w:rsidR="008452B5" w:rsidRPr="0027797C">
              <w:rPr>
                <w:rFonts w:asciiTheme="majorHAnsi" w:hAnsiTheme="majorHAnsi"/>
                <w:sz w:val="24"/>
              </w:rPr>
              <w:t>made</w:t>
            </w:r>
            <w:r w:rsidRPr="0027797C">
              <w:rPr>
                <w:rFonts w:asciiTheme="majorHAnsi" w:hAnsiTheme="majorHAnsi"/>
                <w:sz w:val="24"/>
              </w:rPr>
              <w:t xml:space="preserve"> in advance: accommodations, overnight arrangements, food, travel, licenses, security, etc. to the satisfaction of the group leader.</w:t>
            </w:r>
          </w:p>
        </w:tc>
      </w:tr>
      <w:tr w:rsidR="00D967AE" w:rsidRPr="0027797C" w:rsidTr="001D1D69">
        <w:tc>
          <w:tcPr>
            <w:tcW w:w="1985" w:type="dxa"/>
          </w:tcPr>
          <w:p w:rsidR="000C0340" w:rsidRPr="0027797C" w:rsidRDefault="00560348" w:rsidP="000C0340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Safety instructions</w:t>
            </w:r>
          </w:p>
        </w:tc>
        <w:tc>
          <w:tcPr>
            <w:tcW w:w="567" w:type="dxa"/>
          </w:tcPr>
          <w:p w:rsidR="00D967AE" w:rsidRPr="0027797C" w:rsidRDefault="00D967AE" w:rsidP="00D967AE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916" w:type="dxa"/>
          </w:tcPr>
          <w:p w:rsidR="00D967AE" w:rsidRPr="0027797C" w:rsidRDefault="00560348" w:rsidP="008452B5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Excavation work to a depth greater than 80 cm and the performance of </w:t>
            </w:r>
            <w:r w:rsidR="00CC30FB" w:rsidRPr="0027797C">
              <w:rPr>
                <w:rFonts w:asciiTheme="majorHAnsi" w:hAnsiTheme="majorHAnsi"/>
                <w:sz w:val="24"/>
                <w:szCs w:val="24"/>
              </w:rPr>
              <w:t>struts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 xml:space="preserve"> in a</w:t>
            </w:r>
            <w:r w:rsidR="00CC30FB" w:rsidRPr="0027797C">
              <w:rPr>
                <w:rFonts w:asciiTheme="majorHAnsi" w:hAnsiTheme="majorHAnsi"/>
                <w:sz w:val="24"/>
                <w:szCs w:val="24"/>
              </w:rPr>
              <w:t>n aboveground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30FB" w:rsidRPr="0027797C">
              <w:rPr>
                <w:rFonts w:asciiTheme="majorHAnsi" w:hAnsiTheme="majorHAnsi"/>
                <w:sz w:val="24"/>
                <w:szCs w:val="24"/>
              </w:rPr>
              <w:t xml:space="preserve">reconstructed 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 xml:space="preserve">building or structure </w:t>
            </w:r>
            <w:r w:rsidR="00CC30FB" w:rsidRPr="0027797C">
              <w:rPr>
                <w:rFonts w:asciiTheme="majorHAnsi" w:hAnsiTheme="majorHAnsi"/>
                <w:sz w:val="24"/>
                <w:szCs w:val="24"/>
              </w:rPr>
              <w:t>shall be carried out solely under the supervision of a construction engineer or professional builder.</w:t>
            </w:r>
          </w:p>
        </w:tc>
      </w:tr>
      <w:tr w:rsidR="00D967AE" w:rsidRPr="0027797C" w:rsidTr="001D1D69">
        <w:tc>
          <w:tcPr>
            <w:tcW w:w="1985" w:type="dxa"/>
          </w:tcPr>
          <w:p w:rsidR="00D967AE" w:rsidRPr="0027797C" w:rsidRDefault="00D967AE" w:rsidP="00D967AE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967AE" w:rsidRPr="0027797C" w:rsidRDefault="00D967AE" w:rsidP="00D967AE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916" w:type="dxa"/>
          </w:tcPr>
          <w:p w:rsidR="00D967AE" w:rsidRPr="0027797C" w:rsidRDefault="00F37828" w:rsidP="00F37828">
            <w:pPr>
              <w:pStyle w:val="Header"/>
              <w:bidi w:val="0"/>
              <w:spacing w:after="120" w:line="276" w:lineRule="auto"/>
              <w:ind w:left="33" w:hanging="33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Struts and supports shall be constructed from </w:t>
            </w:r>
            <w:r w:rsidR="00CC30FB" w:rsidRPr="0027797C">
              <w:rPr>
                <w:rFonts w:asciiTheme="majorHAnsi" w:hAnsiTheme="majorHAnsi"/>
                <w:sz w:val="24"/>
                <w:szCs w:val="24"/>
              </w:rPr>
              <w:t>standard components and materials that are suitable for their specific purpose, with sufficient strength.</w:t>
            </w:r>
          </w:p>
        </w:tc>
      </w:tr>
      <w:tr w:rsidR="00D967AE" w:rsidRPr="0027797C" w:rsidTr="001D1D69">
        <w:tc>
          <w:tcPr>
            <w:tcW w:w="1985" w:type="dxa"/>
            <w:noWrap/>
            <w:tcFitText/>
            <w:vAlign w:val="center"/>
          </w:tcPr>
          <w:p w:rsidR="00D967AE" w:rsidRPr="0027797C" w:rsidRDefault="00D967AE" w:rsidP="00D967AE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967AE" w:rsidRPr="0027797C" w:rsidRDefault="00D967AE" w:rsidP="00D967AE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6916" w:type="dxa"/>
          </w:tcPr>
          <w:p w:rsidR="00D967AE" w:rsidRPr="0027797C" w:rsidRDefault="00CC30FB" w:rsidP="00F37828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Before entering a covered site that requires reconstruction, </w:t>
            </w:r>
            <w:r w:rsidR="00F37828" w:rsidRPr="0027797C">
              <w:rPr>
                <w:rFonts w:asciiTheme="majorHAnsi" w:hAnsiTheme="majorHAnsi"/>
                <w:sz w:val="24"/>
                <w:szCs w:val="24"/>
              </w:rPr>
              <w:t xml:space="preserve">conduct 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>tests to locate bacteriological contamination and parasites.</w:t>
            </w:r>
          </w:p>
        </w:tc>
      </w:tr>
      <w:tr w:rsidR="00D967AE" w:rsidRPr="0027797C" w:rsidTr="001D1D69">
        <w:tc>
          <w:tcPr>
            <w:tcW w:w="1985" w:type="dxa"/>
            <w:noWrap/>
            <w:tcFitText/>
            <w:vAlign w:val="center"/>
          </w:tcPr>
          <w:p w:rsidR="00D967AE" w:rsidRPr="0027797C" w:rsidRDefault="00D967AE" w:rsidP="00D967AE">
            <w:pPr>
              <w:pStyle w:val="Header"/>
              <w:tabs>
                <w:tab w:val="left" w:pos="1418"/>
              </w:tabs>
              <w:bidi w:val="0"/>
              <w:spacing w:after="120" w:line="276" w:lineRule="auto"/>
              <w:ind w:left="1418" w:hanging="1418"/>
              <w:jc w:val="center"/>
              <w:rPr>
                <w:rFonts w:asciiTheme="majorHAnsi" w:hAnsiTheme="majorHAnsi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567" w:type="dxa"/>
          </w:tcPr>
          <w:p w:rsidR="00D967AE" w:rsidRPr="0027797C" w:rsidRDefault="00D967AE" w:rsidP="00D967AE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6916" w:type="dxa"/>
          </w:tcPr>
          <w:p w:rsidR="00D967AE" w:rsidRPr="0027797C" w:rsidRDefault="00CC30FB" w:rsidP="008452B5">
            <w:pPr>
              <w:pStyle w:val="Header"/>
              <w:bidi w:val="0"/>
              <w:spacing w:after="120" w:line="276" w:lineRule="auto"/>
              <w:ind w:firstLine="33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At an </w:t>
            </w:r>
            <w:r w:rsidRPr="0027797C">
              <w:rPr>
                <w:rFonts w:asciiTheme="majorHAnsi" w:hAnsiTheme="majorHAnsi"/>
                <w:sz w:val="24"/>
              </w:rPr>
              <w:t>archaeological work site, all necessary arrangements will be made to secure first aid for injured people and to transport them if necessary to nearby medical centers. For every 50 workers</w:t>
            </w:r>
            <w:r w:rsidR="008452B5" w:rsidRPr="0027797C">
              <w:rPr>
                <w:rFonts w:asciiTheme="majorHAnsi" w:hAnsiTheme="majorHAnsi"/>
                <w:sz w:val="24"/>
              </w:rPr>
              <w:t>,</w:t>
            </w:r>
            <w:r w:rsidRPr="0027797C">
              <w:rPr>
                <w:rFonts w:asciiTheme="majorHAnsi" w:hAnsiTheme="majorHAnsi"/>
                <w:sz w:val="24"/>
              </w:rPr>
              <w:t xml:space="preserve"> a </w:t>
            </w:r>
            <w:r w:rsidR="0066692E" w:rsidRPr="0027797C">
              <w:rPr>
                <w:rFonts w:asciiTheme="majorHAnsi" w:hAnsiTheme="majorHAnsi"/>
                <w:sz w:val="24"/>
              </w:rPr>
              <w:t xml:space="preserve">first aid </w:t>
            </w:r>
            <w:r w:rsidR="008452B5" w:rsidRPr="0027797C">
              <w:rPr>
                <w:rFonts w:asciiTheme="majorHAnsi" w:hAnsiTheme="majorHAnsi"/>
                <w:sz w:val="24"/>
              </w:rPr>
              <w:t xml:space="preserve">kit </w:t>
            </w:r>
            <w:r w:rsidR="0066692E" w:rsidRPr="0027797C">
              <w:rPr>
                <w:rFonts w:asciiTheme="majorHAnsi" w:hAnsiTheme="majorHAnsi"/>
                <w:sz w:val="24"/>
              </w:rPr>
              <w:t>will be available</w:t>
            </w:r>
            <w:r w:rsidR="008452B5" w:rsidRPr="0027797C">
              <w:rPr>
                <w:rFonts w:asciiTheme="majorHAnsi" w:hAnsiTheme="majorHAnsi"/>
                <w:sz w:val="24"/>
              </w:rPr>
              <w:t>.</w:t>
            </w:r>
            <w:r w:rsidR="0066692E" w:rsidRPr="0027797C">
              <w:rPr>
                <w:rFonts w:asciiTheme="majorHAnsi" w:hAnsiTheme="majorHAnsi"/>
                <w:sz w:val="24"/>
              </w:rPr>
              <w:t xml:space="preserve"> </w:t>
            </w:r>
            <w:r w:rsidR="00B61B29" w:rsidRPr="0027797C">
              <w:rPr>
                <w:rFonts w:asciiTheme="majorHAnsi" w:hAnsiTheme="majorHAnsi"/>
                <w:sz w:val="24"/>
              </w:rPr>
              <w:t>For groups with more than 50 peop</w:t>
            </w:r>
            <w:r w:rsidR="008452B5" w:rsidRPr="0027797C">
              <w:rPr>
                <w:rFonts w:asciiTheme="majorHAnsi" w:hAnsiTheme="majorHAnsi"/>
                <w:sz w:val="24"/>
              </w:rPr>
              <w:t>l</w:t>
            </w:r>
            <w:r w:rsidR="00B61B29" w:rsidRPr="0027797C">
              <w:rPr>
                <w:rFonts w:asciiTheme="majorHAnsi" w:hAnsiTheme="majorHAnsi"/>
                <w:sz w:val="24"/>
              </w:rPr>
              <w:t xml:space="preserve">e, a room or tent will be </w:t>
            </w:r>
            <w:r w:rsidR="00270223" w:rsidRPr="0027797C">
              <w:rPr>
                <w:rFonts w:asciiTheme="majorHAnsi" w:hAnsiTheme="majorHAnsi"/>
                <w:sz w:val="24"/>
              </w:rPr>
              <w:t>converted into a first aid station with equipment, and a certified paramedic will be on site. U</w:t>
            </w:r>
            <w:r w:rsidR="0066692E" w:rsidRPr="0027797C">
              <w:rPr>
                <w:rFonts w:asciiTheme="majorHAnsi" w:hAnsiTheme="majorHAnsi"/>
                <w:sz w:val="24"/>
              </w:rPr>
              <w:t>nder no circumstances</w:t>
            </w:r>
            <w:r w:rsidR="00270223" w:rsidRPr="0027797C">
              <w:rPr>
                <w:rFonts w:asciiTheme="majorHAnsi" w:hAnsiTheme="majorHAnsi"/>
                <w:sz w:val="24"/>
              </w:rPr>
              <w:t>, not even for the shortest amount of time,</w:t>
            </w:r>
            <w:r w:rsidR="0066692E" w:rsidRPr="0027797C">
              <w:rPr>
                <w:rFonts w:asciiTheme="majorHAnsi" w:hAnsiTheme="majorHAnsi"/>
                <w:sz w:val="24"/>
              </w:rPr>
              <w:t xml:space="preserve"> will </w:t>
            </w:r>
            <w:r w:rsidR="00270223" w:rsidRPr="0027797C">
              <w:rPr>
                <w:rFonts w:asciiTheme="majorHAnsi" w:hAnsiTheme="majorHAnsi"/>
                <w:sz w:val="24"/>
              </w:rPr>
              <w:t>a vehicle capable of transporting at least three people (lying down) not be present at the site.</w:t>
            </w:r>
          </w:p>
        </w:tc>
      </w:tr>
      <w:tr w:rsidR="00D967AE" w:rsidRPr="0027797C" w:rsidTr="001D1D69">
        <w:tc>
          <w:tcPr>
            <w:tcW w:w="1985" w:type="dxa"/>
            <w:noWrap/>
            <w:tcFitText/>
            <w:vAlign w:val="center"/>
          </w:tcPr>
          <w:p w:rsidR="00D967AE" w:rsidRPr="0027797C" w:rsidRDefault="00D967AE" w:rsidP="00D967AE">
            <w:pPr>
              <w:pStyle w:val="Header"/>
              <w:tabs>
                <w:tab w:val="left" w:pos="1418"/>
              </w:tabs>
              <w:bidi w:val="0"/>
              <w:spacing w:after="120" w:line="276" w:lineRule="auto"/>
              <w:ind w:left="1418" w:hanging="1418"/>
              <w:jc w:val="center"/>
              <w:rPr>
                <w:rFonts w:asciiTheme="majorHAnsi" w:hAnsiTheme="majorHAnsi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567" w:type="dxa"/>
          </w:tcPr>
          <w:p w:rsidR="00D967AE" w:rsidRPr="0027797C" w:rsidRDefault="00D967AE" w:rsidP="00D967AE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6916" w:type="dxa"/>
          </w:tcPr>
          <w:p w:rsidR="00D967AE" w:rsidRPr="0027797C" w:rsidRDefault="00F37828" w:rsidP="00F37828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</w:rPr>
              <w:t>A</w:t>
            </w:r>
            <w:r w:rsidR="00270223" w:rsidRPr="0027797C">
              <w:rPr>
                <w:rFonts w:asciiTheme="majorHAnsi" w:hAnsiTheme="majorHAnsi"/>
                <w:sz w:val="24"/>
              </w:rPr>
              <w:t>t least four fire extinguishers of the “6 kg. dry powder” type for every 50 people</w:t>
            </w:r>
            <w:r w:rsidRPr="0027797C">
              <w:rPr>
                <w:rFonts w:asciiTheme="majorHAnsi" w:hAnsiTheme="majorHAnsi"/>
                <w:sz w:val="24"/>
              </w:rPr>
              <w:t xml:space="preserve"> will be available at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r w:rsidRPr="0027797C">
              <w:rPr>
                <w:rFonts w:asciiTheme="majorHAnsi" w:hAnsiTheme="majorHAnsi"/>
                <w:sz w:val="24"/>
              </w:rPr>
              <w:t>archaeological work site</w:t>
            </w:r>
            <w:r w:rsidR="00270223" w:rsidRPr="0027797C">
              <w:rPr>
                <w:rFonts w:asciiTheme="majorHAnsi" w:hAnsiTheme="majorHAnsi"/>
                <w:sz w:val="24"/>
              </w:rPr>
              <w:t xml:space="preserve">. If more than 20 liters of flammable substances are kept at the site and there is no available faucet for flowing water that could also be used as a fire extinguisher, with suitable equipment nearby, a fire extinguishing cart of the “50 kg. dry powder” will be kept on </w:t>
            </w:r>
            <w:r w:rsidR="00270223" w:rsidRPr="0027797C">
              <w:rPr>
                <w:rFonts w:asciiTheme="majorHAnsi" w:hAnsiTheme="majorHAnsi"/>
                <w:sz w:val="24"/>
              </w:rPr>
              <w:lastRenderedPageBreak/>
              <w:t>site.</w:t>
            </w:r>
          </w:p>
        </w:tc>
      </w:tr>
      <w:tr w:rsidR="000C0340" w:rsidRPr="0027797C" w:rsidTr="001D1D69">
        <w:tc>
          <w:tcPr>
            <w:tcW w:w="1985" w:type="dxa"/>
          </w:tcPr>
          <w:p w:rsidR="000C0340" w:rsidRPr="0027797C" w:rsidRDefault="000C0340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C0340" w:rsidRPr="0027797C" w:rsidRDefault="000C0340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6916" w:type="dxa"/>
          </w:tcPr>
          <w:p w:rsidR="000C0340" w:rsidRPr="0027797C" w:rsidRDefault="000811AD" w:rsidP="003D2156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All electric lighting facilities</w:t>
            </w:r>
            <w:r w:rsidR="00F90265" w:rsidRPr="0027797C">
              <w:rPr>
                <w:rFonts w:asciiTheme="majorHAnsi" w:hAnsiTheme="majorHAnsi"/>
                <w:sz w:val="24"/>
                <w:szCs w:val="24"/>
              </w:rPr>
              <w:t>,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 xml:space="preserve"> etc. that operate at more than 24 volts</w:t>
            </w:r>
            <w:r w:rsidR="00160BC1" w:rsidRPr="0027797C">
              <w:rPr>
                <w:rFonts w:asciiTheme="majorHAnsi" w:hAnsiTheme="majorHAnsi"/>
                <w:sz w:val="24"/>
                <w:szCs w:val="24"/>
              </w:rPr>
              <w:t xml:space="preserve"> require the approval, supervision and handling of a licensed electrician.</w:t>
            </w:r>
          </w:p>
        </w:tc>
      </w:tr>
      <w:tr w:rsidR="00087749" w:rsidRPr="0027797C" w:rsidTr="001D1D69">
        <w:tc>
          <w:tcPr>
            <w:tcW w:w="1985" w:type="dxa"/>
          </w:tcPr>
          <w:p w:rsidR="00087749" w:rsidRPr="0027797C" w:rsidRDefault="00087749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87749" w:rsidRPr="0027797C" w:rsidRDefault="00087749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6916" w:type="dxa"/>
          </w:tcPr>
          <w:p w:rsidR="00087749" w:rsidRPr="0027797C" w:rsidRDefault="00087749" w:rsidP="00C17F33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Within the accommodations and work areas that do not have sunlight and/or are used also during nighttime hours, </w:t>
            </w:r>
            <w:r w:rsidR="00C17F33" w:rsidRPr="0027797C">
              <w:rPr>
                <w:rFonts w:asciiTheme="majorHAnsi" w:hAnsiTheme="majorHAnsi"/>
                <w:sz w:val="24"/>
                <w:szCs w:val="24"/>
              </w:rPr>
              <w:t xml:space="preserve">individual 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 xml:space="preserve">lighting fixtures will be installed </w:t>
            </w:r>
            <w:r w:rsidR="00C17F33" w:rsidRPr="0027797C">
              <w:rPr>
                <w:rFonts w:asciiTheme="majorHAnsi" w:hAnsiTheme="majorHAnsi"/>
                <w:sz w:val="24"/>
                <w:szCs w:val="24"/>
              </w:rPr>
              <w:t>in addition to lighting connected to the central system.</w:t>
            </w:r>
          </w:p>
        </w:tc>
      </w:tr>
      <w:tr w:rsidR="00087749" w:rsidRPr="0027797C" w:rsidTr="001D1D69">
        <w:tc>
          <w:tcPr>
            <w:tcW w:w="1985" w:type="dxa"/>
          </w:tcPr>
          <w:p w:rsidR="00087749" w:rsidRPr="0027797C" w:rsidRDefault="00087749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87749" w:rsidRPr="0027797C" w:rsidRDefault="00C17F33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6916" w:type="dxa"/>
          </w:tcPr>
          <w:p w:rsidR="00087749" w:rsidRPr="0027797C" w:rsidRDefault="00C17F33" w:rsidP="003D2156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During work at an </w:t>
            </w:r>
            <w:r w:rsidRPr="0027797C">
              <w:rPr>
                <w:rFonts w:asciiTheme="majorHAnsi" w:hAnsiTheme="majorHAnsi"/>
                <w:sz w:val="24"/>
              </w:rPr>
              <w:t>archaeological site, only standard work tools will be used that are appropriate for their specific purpose.</w:t>
            </w:r>
          </w:p>
        </w:tc>
      </w:tr>
      <w:tr w:rsidR="00087749" w:rsidRPr="0027797C" w:rsidTr="001D1D69">
        <w:tc>
          <w:tcPr>
            <w:tcW w:w="1985" w:type="dxa"/>
          </w:tcPr>
          <w:p w:rsidR="00087749" w:rsidRPr="0027797C" w:rsidRDefault="00087749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87749" w:rsidRPr="0027797C" w:rsidRDefault="001D1D69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6916" w:type="dxa"/>
          </w:tcPr>
          <w:p w:rsidR="00087749" w:rsidRPr="0027797C" w:rsidRDefault="001D1D69" w:rsidP="0020273C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All </w:t>
            </w:r>
            <w:r w:rsidR="00F90265" w:rsidRPr="0027797C">
              <w:rPr>
                <w:rFonts w:asciiTheme="majorHAnsi" w:hAnsiTheme="majorHAnsi"/>
                <w:sz w:val="24"/>
                <w:szCs w:val="24"/>
              </w:rPr>
              <w:t xml:space="preserve">moving 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 xml:space="preserve">parts of mechanical equipment, such as pumps, generators, blowers, etc. </w:t>
            </w:r>
            <w:r w:rsidR="0020273C" w:rsidRPr="0027797C">
              <w:rPr>
                <w:rFonts w:asciiTheme="majorHAnsi" w:hAnsiTheme="majorHAnsi"/>
                <w:sz w:val="24"/>
                <w:szCs w:val="24"/>
              </w:rPr>
              <w:t xml:space="preserve">shall 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>be protected as required by law.</w:t>
            </w:r>
          </w:p>
        </w:tc>
      </w:tr>
      <w:tr w:rsidR="00087749" w:rsidRPr="0027797C" w:rsidTr="001D1D69">
        <w:tc>
          <w:tcPr>
            <w:tcW w:w="1985" w:type="dxa"/>
          </w:tcPr>
          <w:p w:rsidR="00087749" w:rsidRPr="0027797C" w:rsidRDefault="00087749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87749" w:rsidRPr="0027797C" w:rsidRDefault="001D1D69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</w:p>
        </w:tc>
        <w:tc>
          <w:tcPr>
            <w:tcW w:w="6916" w:type="dxa"/>
          </w:tcPr>
          <w:p w:rsidR="00087749" w:rsidRPr="0027797C" w:rsidRDefault="003C2FAF" w:rsidP="0020273C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All lifting machinery and accessories (manual and mechanical)  </w:t>
            </w:r>
            <w:r w:rsidR="0020273C" w:rsidRPr="0027797C">
              <w:rPr>
                <w:rFonts w:asciiTheme="majorHAnsi" w:hAnsiTheme="majorHAnsi"/>
                <w:sz w:val="24"/>
                <w:szCs w:val="24"/>
              </w:rPr>
              <w:t xml:space="preserve">shall </w:t>
            </w:r>
            <w:r w:rsidRPr="0027797C">
              <w:rPr>
                <w:rFonts w:asciiTheme="majorHAnsi" w:hAnsiTheme="majorHAnsi"/>
                <w:sz w:val="24"/>
                <w:szCs w:val="24"/>
              </w:rPr>
              <w:t>be properly maintained and equipped with valid certificates from a certified tester.</w:t>
            </w:r>
          </w:p>
        </w:tc>
      </w:tr>
      <w:tr w:rsidR="00087749" w:rsidRPr="0027797C" w:rsidTr="001D1D69">
        <w:tc>
          <w:tcPr>
            <w:tcW w:w="1985" w:type="dxa"/>
          </w:tcPr>
          <w:p w:rsidR="00087749" w:rsidRPr="0027797C" w:rsidRDefault="00087749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87749" w:rsidRPr="0027797C" w:rsidRDefault="003C2FAF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6916" w:type="dxa"/>
          </w:tcPr>
          <w:p w:rsidR="00087749" w:rsidRPr="0027797C" w:rsidRDefault="004B6D05" w:rsidP="004B6D05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All work carried out within excavations, tunnels, channels, underneath scaffolding, vaults, etc. require the continuous use of protective helmets.</w:t>
            </w:r>
          </w:p>
        </w:tc>
      </w:tr>
      <w:tr w:rsidR="004B6D05" w:rsidRPr="0027797C" w:rsidTr="001D1D69">
        <w:tc>
          <w:tcPr>
            <w:tcW w:w="1985" w:type="dxa"/>
          </w:tcPr>
          <w:p w:rsidR="004B6D05" w:rsidRPr="0027797C" w:rsidRDefault="004B6D05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567" w:type="dxa"/>
          </w:tcPr>
          <w:p w:rsidR="004B6D05" w:rsidRPr="0027797C" w:rsidRDefault="004B6D05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27797C">
              <w:rPr>
                <w:rFonts w:asciiTheme="majorHAnsi" w:hAnsiTheme="majorHAnsi"/>
                <w:sz w:val="24"/>
                <w:szCs w:val="26"/>
              </w:rPr>
              <w:t>13.</w:t>
            </w:r>
          </w:p>
        </w:tc>
        <w:tc>
          <w:tcPr>
            <w:tcW w:w="6916" w:type="dxa"/>
          </w:tcPr>
          <w:p w:rsidR="004B6D05" w:rsidRPr="0027797C" w:rsidRDefault="004B6D05" w:rsidP="004B6D05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6"/>
                <w:rtl/>
              </w:rPr>
            </w:pPr>
            <w:r w:rsidRPr="0027797C">
              <w:rPr>
                <w:rFonts w:asciiTheme="majorHAnsi" w:hAnsiTheme="majorHAnsi"/>
                <w:sz w:val="24"/>
                <w:szCs w:val="26"/>
              </w:rPr>
              <w:t xml:space="preserve">All work with chemicals, tin, shattering, grinding, etc. require the use of suitable protective goggles. </w:t>
            </w:r>
          </w:p>
        </w:tc>
      </w:tr>
      <w:tr w:rsidR="00800334" w:rsidRPr="0027797C" w:rsidTr="001D1D69">
        <w:tc>
          <w:tcPr>
            <w:tcW w:w="1985" w:type="dxa"/>
          </w:tcPr>
          <w:p w:rsidR="00800334" w:rsidRPr="0027797C" w:rsidRDefault="00800334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00334" w:rsidRPr="0027797C" w:rsidRDefault="00800334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6916" w:type="dxa"/>
          </w:tcPr>
          <w:p w:rsidR="00800334" w:rsidRPr="0027797C" w:rsidRDefault="00031F2A" w:rsidP="004B6D05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Engineerin</w:t>
            </w:r>
            <w:bookmarkStart w:id="0" w:name="_GoBack"/>
            <w:bookmarkEnd w:id="0"/>
            <w:r w:rsidRPr="0027797C">
              <w:rPr>
                <w:rFonts w:asciiTheme="majorHAnsi" w:hAnsiTheme="majorHAnsi"/>
                <w:sz w:val="24"/>
                <w:szCs w:val="24"/>
              </w:rPr>
              <w:t>g construction and reconstruction work require the use of safety shoes and full work clothing.</w:t>
            </w:r>
          </w:p>
        </w:tc>
      </w:tr>
      <w:tr w:rsidR="00800334" w:rsidRPr="0027797C" w:rsidTr="001D1D69">
        <w:tc>
          <w:tcPr>
            <w:tcW w:w="1985" w:type="dxa"/>
          </w:tcPr>
          <w:p w:rsidR="00800334" w:rsidRPr="0027797C" w:rsidRDefault="00800334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00334" w:rsidRPr="0027797C" w:rsidRDefault="00031F2A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6916" w:type="dxa"/>
          </w:tcPr>
          <w:p w:rsidR="00800334" w:rsidRPr="0027797C" w:rsidRDefault="00031F2A" w:rsidP="004B6D05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During work outside under direct sunlight, it is required to cover the head and exposed body parts and to wear sunglasses.</w:t>
            </w:r>
          </w:p>
        </w:tc>
      </w:tr>
      <w:tr w:rsidR="00031F2A" w:rsidRPr="0027797C" w:rsidTr="001D1D69">
        <w:tc>
          <w:tcPr>
            <w:tcW w:w="1985" w:type="dxa"/>
          </w:tcPr>
          <w:p w:rsidR="00031F2A" w:rsidRPr="0027797C" w:rsidRDefault="00031F2A" w:rsidP="003D2156">
            <w:pPr>
              <w:pStyle w:val="Header"/>
              <w:tabs>
                <w:tab w:val="left" w:pos="2127"/>
              </w:tabs>
              <w:bidi w:val="0"/>
              <w:rPr>
                <w:rFonts w:asciiTheme="majorHAnsi" w:hAnsiTheme="majorHAnsi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Responsible for performance</w:t>
            </w:r>
          </w:p>
        </w:tc>
        <w:tc>
          <w:tcPr>
            <w:tcW w:w="567" w:type="dxa"/>
          </w:tcPr>
          <w:p w:rsidR="00031F2A" w:rsidRPr="0027797C" w:rsidRDefault="00031F2A" w:rsidP="003D2156">
            <w:pPr>
              <w:pStyle w:val="Header"/>
              <w:tabs>
                <w:tab w:val="left" w:pos="1701"/>
              </w:tabs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6916" w:type="dxa"/>
          </w:tcPr>
          <w:p w:rsidR="00031F2A" w:rsidRPr="0027797C" w:rsidRDefault="00031F2A" w:rsidP="00031F2A">
            <w:pPr>
              <w:pStyle w:val="Header"/>
              <w:bidi w:val="0"/>
              <w:spacing w:after="12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7797C">
              <w:rPr>
                <w:rFonts w:asciiTheme="majorHAnsi" w:hAnsiTheme="majorHAnsi"/>
                <w:sz w:val="24"/>
                <w:szCs w:val="24"/>
              </w:rPr>
              <w:t xml:space="preserve">Group leaders in charge of archaeological excavations are responsible for overall supervision of these instructions. </w:t>
            </w:r>
          </w:p>
        </w:tc>
      </w:tr>
    </w:tbl>
    <w:p w:rsidR="00C223C3" w:rsidRPr="0027797C" w:rsidRDefault="00C223C3" w:rsidP="00D967AE">
      <w:pPr>
        <w:pStyle w:val="Footer"/>
        <w:tabs>
          <w:tab w:val="clear" w:pos="4680"/>
          <w:tab w:val="clear" w:pos="9360"/>
        </w:tabs>
        <w:bidi w:val="0"/>
      </w:pPr>
    </w:p>
    <w:sectPr w:rsidR="00C223C3" w:rsidRPr="002779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65" w:rsidRDefault="00F20465" w:rsidP="00D967AE">
      <w:r>
        <w:separator/>
      </w:r>
    </w:p>
  </w:endnote>
  <w:endnote w:type="continuationSeparator" w:id="0">
    <w:p w:rsidR="00F20465" w:rsidRDefault="00F20465" w:rsidP="00D9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65" w:rsidRDefault="00F20465" w:rsidP="00D967AE">
      <w:r>
        <w:separator/>
      </w:r>
    </w:p>
  </w:footnote>
  <w:footnote w:type="continuationSeparator" w:id="0">
    <w:p w:rsidR="00F20465" w:rsidRDefault="00F20465" w:rsidP="00D9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AE" w:rsidRPr="00485037" w:rsidRDefault="00D967AE" w:rsidP="00D967AE">
    <w:pPr>
      <w:pStyle w:val="Header"/>
      <w:bidi w:val="0"/>
      <w:jc w:val="center"/>
      <w:rPr>
        <w:rFonts w:ascii="Cambria" w:hAnsi="Cambria"/>
        <w:b/>
        <w:bCs/>
        <w:sz w:val="26"/>
        <w:szCs w:val="26"/>
      </w:rPr>
    </w:pPr>
    <w:r w:rsidRPr="00485037">
      <w:rPr>
        <w:rFonts w:ascii="Cambria" w:hAnsi="Cambria"/>
        <w:b/>
        <w:bCs/>
        <w:sz w:val="26"/>
        <w:szCs w:val="26"/>
      </w:rPr>
      <w:t>Tel Aviv University</w:t>
    </w:r>
  </w:p>
  <w:p w:rsidR="00D967AE" w:rsidRPr="00485037" w:rsidRDefault="00D967AE" w:rsidP="00D967AE">
    <w:pPr>
      <w:pStyle w:val="Header"/>
      <w:bidi w:val="0"/>
      <w:jc w:val="center"/>
      <w:rPr>
        <w:rFonts w:ascii="Cambria" w:hAnsi="Cambria"/>
        <w:szCs w:val="24"/>
      </w:rPr>
    </w:pPr>
    <w:r w:rsidRPr="00485037">
      <w:rPr>
        <w:rFonts w:ascii="Cambria" w:hAnsi="Cambria"/>
        <w:szCs w:val="24"/>
      </w:rPr>
      <w:t>Safety Unit</w:t>
    </w:r>
  </w:p>
  <w:p w:rsidR="00D967AE" w:rsidRPr="00485037" w:rsidRDefault="00D967AE" w:rsidP="00D967AE">
    <w:pPr>
      <w:pStyle w:val="Header"/>
      <w:bidi w:val="0"/>
      <w:rPr>
        <w:rFonts w:ascii="Cambria" w:hAnsi="Cambria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7"/>
      <w:gridCol w:w="989"/>
      <w:gridCol w:w="1514"/>
      <w:gridCol w:w="2007"/>
      <w:gridCol w:w="1829"/>
    </w:tblGrid>
    <w:tr w:rsidR="00D967AE" w:rsidRPr="00485037" w:rsidTr="003D2156">
      <w:trPr>
        <w:jc w:val="center"/>
      </w:trPr>
      <w:tc>
        <w:tcPr>
          <w:tcW w:w="3256" w:type="dxa"/>
          <w:tcBorders>
            <w:bottom w:val="single" w:sz="4" w:space="0" w:color="auto"/>
          </w:tcBorders>
          <w:vAlign w:val="center"/>
        </w:tcPr>
        <w:p w:rsidR="00D967AE" w:rsidRPr="00485037" w:rsidRDefault="00D967AE" w:rsidP="003D2156">
          <w:pPr>
            <w:pStyle w:val="Header"/>
            <w:bidi w:val="0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485037">
            <w:rPr>
              <w:rFonts w:ascii="Cambria" w:hAnsi="Cambria"/>
              <w:b/>
              <w:bCs/>
              <w:sz w:val="28"/>
              <w:szCs w:val="28"/>
              <w:u w:val="single"/>
            </w:rPr>
            <w:t>Safety Directives</w:t>
          </w:r>
        </w:p>
      </w:tc>
      <w:tc>
        <w:tcPr>
          <w:tcW w:w="997" w:type="dxa"/>
          <w:tcBorders>
            <w:bottom w:val="single" w:sz="4" w:space="0" w:color="auto"/>
          </w:tcBorders>
        </w:tcPr>
        <w:p w:rsidR="00D967AE" w:rsidRPr="00485037" w:rsidRDefault="00D967AE" w:rsidP="003D2156">
          <w:pPr>
            <w:pStyle w:val="Header"/>
            <w:bidi w:val="0"/>
            <w:rPr>
              <w:rFonts w:ascii="Cambria" w:hAnsi="Cambria"/>
              <w:b/>
              <w:bCs/>
            </w:rPr>
          </w:pPr>
        </w:p>
      </w:tc>
      <w:tc>
        <w:tcPr>
          <w:tcW w:w="1523" w:type="dxa"/>
          <w:tcBorders>
            <w:bottom w:val="single" w:sz="4" w:space="0" w:color="auto"/>
          </w:tcBorders>
        </w:tcPr>
        <w:p w:rsidR="00D967AE" w:rsidRPr="00485037" w:rsidRDefault="00D967AE" w:rsidP="003D2156">
          <w:pPr>
            <w:pStyle w:val="Header"/>
            <w:bidi w:val="0"/>
            <w:jc w:val="center"/>
            <w:rPr>
              <w:rFonts w:ascii="Cambria" w:hAnsi="Cambria"/>
              <w:b/>
              <w:bCs/>
              <w:u w:val="single"/>
            </w:rPr>
          </w:pPr>
          <w:r w:rsidRPr="00485037">
            <w:rPr>
              <w:rFonts w:ascii="Cambria" w:hAnsi="Cambria"/>
              <w:b/>
              <w:bCs/>
              <w:u w:val="single"/>
            </w:rPr>
            <w:t xml:space="preserve">Page No. 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begin"/>
          </w:r>
          <w:r w:rsidRPr="00485037">
            <w:rPr>
              <w:rFonts w:ascii="Cambria" w:hAnsi="Cambria"/>
              <w:b/>
              <w:bCs/>
              <w:u w:val="single"/>
            </w:rPr>
            <w:instrText xml:space="preserve"> PAGE   \* MERGEFORMAT </w:instrText>
          </w:r>
          <w:r w:rsidRPr="00485037">
            <w:rPr>
              <w:rFonts w:ascii="Cambria" w:hAnsi="Cambria"/>
              <w:b/>
              <w:bCs/>
              <w:u w:val="single"/>
            </w:rPr>
            <w:fldChar w:fldCharType="separate"/>
          </w:r>
          <w:r w:rsidR="0027797C">
            <w:rPr>
              <w:rFonts w:ascii="Cambria" w:hAnsi="Cambria"/>
              <w:b/>
              <w:bCs/>
              <w:noProof/>
              <w:u w:val="single"/>
            </w:rPr>
            <w:t>2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end"/>
          </w:r>
        </w:p>
        <w:p w:rsidR="00D967AE" w:rsidRPr="00485037" w:rsidRDefault="00D967AE" w:rsidP="003D2156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 xml:space="preserve">Of </w:t>
          </w:r>
          <w:r w:rsidRPr="00485037">
            <w:rPr>
              <w:rFonts w:ascii="Cambria" w:hAnsi="Cambria"/>
            </w:rPr>
            <w:fldChar w:fldCharType="begin"/>
          </w:r>
          <w:r w:rsidRPr="00485037">
            <w:rPr>
              <w:rFonts w:ascii="Cambria" w:hAnsi="Cambria"/>
            </w:rPr>
            <w:instrText xml:space="preserve"> NUMPAGES   \* MERGEFORMAT </w:instrText>
          </w:r>
          <w:r w:rsidRPr="00485037">
            <w:rPr>
              <w:rFonts w:ascii="Cambria" w:hAnsi="Cambria"/>
            </w:rPr>
            <w:fldChar w:fldCharType="separate"/>
          </w:r>
          <w:r w:rsidR="0027797C">
            <w:rPr>
              <w:rFonts w:ascii="Cambria" w:hAnsi="Cambria"/>
              <w:noProof/>
            </w:rPr>
            <w:t>2</w:t>
          </w:r>
          <w:r w:rsidRPr="00485037">
            <w:rPr>
              <w:rFonts w:ascii="Cambria" w:hAnsi="Cambria"/>
            </w:rPr>
            <w:fldChar w:fldCharType="end"/>
          </w:r>
        </w:p>
      </w:tc>
      <w:tc>
        <w:tcPr>
          <w:tcW w:w="2016" w:type="dxa"/>
          <w:tcBorders>
            <w:bottom w:val="single" w:sz="4" w:space="0" w:color="auto"/>
          </w:tcBorders>
        </w:tcPr>
        <w:p w:rsidR="00D967AE" w:rsidRPr="00485037" w:rsidRDefault="00D967AE" w:rsidP="003D2156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Date published</w:t>
          </w:r>
        </w:p>
        <w:p w:rsidR="00D967AE" w:rsidRPr="00485037" w:rsidRDefault="00D967AE" w:rsidP="003D2156">
          <w:pPr>
            <w:pStyle w:val="Header"/>
            <w:bidi w:val="0"/>
            <w:jc w:val="center"/>
            <w:rPr>
              <w:rFonts w:ascii="Cambria" w:hAnsi="Cambria"/>
            </w:rPr>
          </w:pPr>
        </w:p>
      </w:tc>
      <w:tc>
        <w:tcPr>
          <w:tcW w:w="1836" w:type="dxa"/>
          <w:tcBorders>
            <w:bottom w:val="single" w:sz="4" w:space="0" w:color="auto"/>
          </w:tcBorders>
        </w:tcPr>
        <w:p w:rsidR="00D967AE" w:rsidRPr="00485037" w:rsidRDefault="00D967AE" w:rsidP="003D2156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Directive No.</w:t>
          </w:r>
        </w:p>
        <w:p w:rsidR="00D967AE" w:rsidRPr="00485037" w:rsidRDefault="00D967AE" w:rsidP="00560348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>07-3</w:t>
          </w:r>
          <w:r>
            <w:rPr>
              <w:rFonts w:ascii="Cambria" w:hAnsi="Cambria"/>
            </w:rPr>
            <w:t>0</w:t>
          </w:r>
          <w:r w:rsidR="00560348">
            <w:rPr>
              <w:rFonts w:ascii="Cambria" w:hAnsi="Cambria"/>
            </w:rPr>
            <w:t>9</w:t>
          </w:r>
        </w:p>
      </w:tc>
    </w:tr>
    <w:tr w:rsidR="00D967AE" w:rsidRPr="00485037" w:rsidTr="003D2156">
      <w:trPr>
        <w:jc w:val="center"/>
      </w:trPr>
      <w:tc>
        <w:tcPr>
          <w:tcW w:w="9628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D967AE" w:rsidRPr="00485037" w:rsidRDefault="00D967AE" w:rsidP="003D2156">
          <w:pPr>
            <w:pStyle w:val="Header"/>
            <w:tabs>
              <w:tab w:val="clear" w:pos="4153"/>
              <w:tab w:val="right" w:pos="5707"/>
            </w:tabs>
            <w:bidi w:val="0"/>
            <w:spacing w:before="120" w:after="120"/>
            <w:rPr>
              <w:rFonts w:ascii="Cambria" w:hAnsi="Cambria"/>
              <w:u w:val="single"/>
            </w:rPr>
          </w:pPr>
          <w:r w:rsidRPr="00485037">
            <w:rPr>
              <w:rFonts w:ascii="Cambria" w:hAnsi="Cambria"/>
              <w:b/>
              <w:bCs/>
            </w:rPr>
            <w:t>Name of Directive:</w:t>
          </w:r>
          <w:r w:rsidRPr="00485037">
            <w:rPr>
              <w:rFonts w:ascii="Cambria" w:hAnsi="Cambria"/>
              <w:b/>
              <w:bCs/>
            </w:rPr>
            <w:tab/>
          </w:r>
          <w:r w:rsidRPr="00485037">
            <w:rPr>
              <w:rFonts w:ascii="Cambria" w:hAnsi="Cambria"/>
              <w:b/>
              <w:bCs/>
              <w:sz w:val="26"/>
              <w:szCs w:val="26"/>
            </w:rPr>
            <w:t>University Safety</w:t>
          </w:r>
        </w:p>
      </w:tc>
    </w:tr>
  </w:tbl>
  <w:p w:rsidR="00D967AE" w:rsidRDefault="00D967AE" w:rsidP="00D967AE">
    <w:pPr>
      <w:pStyle w:val="Header"/>
      <w:bidi w:val="0"/>
    </w:pPr>
  </w:p>
  <w:p w:rsidR="00D967AE" w:rsidRDefault="00D96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AE"/>
    <w:rsid w:val="00002266"/>
    <w:rsid w:val="00031F2A"/>
    <w:rsid w:val="000811AD"/>
    <w:rsid w:val="00087749"/>
    <w:rsid w:val="000947F9"/>
    <w:rsid w:val="000C0340"/>
    <w:rsid w:val="00160BC1"/>
    <w:rsid w:val="001D1D69"/>
    <w:rsid w:val="0020273C"/>
    <w:rsid w:val="00270223"/>
    <w:rsid w:val="0027797C"/>
    <w:rsid w:val="003207FA"/>
    <w:rsid w:val="003C2FAF"/>
    <w:rsid w:val="003D5AAD"/>
    <w:rsid w:val="004B6D05"/>
    <w:rsid w:val="00560348"/>
    <w:rsid w:val="00613418"/>
    <w:rsid w:val="00625CCF"/>
    <w:rsid w:val="0066692E"/>
    <w:rsid w:val="0073061C"/>
    <w:rsid w:val="00800334"/>
    <w:rsid w:val="008452B5"/>
    <w:rsid w:val="00866790"/>
    <w:rsid w:val="009A33C3"/>
    <w:rsid w:val="009F4521"/>
    <w:rsid w:val="00B56D04"/>
    <w:rsid w:val="00B61B29"/>
    <w:rsid w:val="00BE2680"/>
    <w:rsid w:val="00C17F33"/>
    <w:rsid w:val="00C223C3"/>
    <w:rsid w:val="00CC30FB"/>
    <w:rsid w:val="00D04052"/>
    <w:rsid w:val="00D430C8"/>
    <w:rsid w:val="00D967AE"/>
    <w:rsid w:val="00DA6D75"/>
    <w:rsid w:val="00E16CF3"/>
    <w:rsid w:val="00E335FA"/>
    <w:rsid w:val="00ED0721"/>
    <w:rsid w:val="00F20465"/>
    <w:rsid w:val="00F37828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theme="minorBidi"/>
        <w:sz w:val="24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AE"/>
    <w:pPr>
      <w:bidi/>
      <w:spacing w:after="0" w:line="240" w:lineRule="auto"/>
    </w:pPr>
    <w:rPr>
      <w:rFonts w:ascii="Times New Roman" w:hAnsi="Times New Roman" w:cs="David"/>
      <w:szCs w:val="24"/>
      <w:lang w:eastAsia="he-IL"/>
    </w:rPr>
  </w:style>
  <w:style w:type="paragraph" w:styleId="Heading3">
    <w:name w:val="heading 3"/>
    <w:basedOn w:val="Normal"/>
    <w:link w:val="Heading3Char"/>
    <w:uiPriority w:val="9"/>
    <w:qFormat/>
    <w:rsid w:val="0073061C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7AE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7AE"/>
    <w:rPr>
      <w:rFonts w:ascii="Times New Roman" w:hAnsi="Times New Roman" w:cs="David"/>
      <w:lang w:eastAsia="he-IL"/>
    </w:rPr>
  </w:style>
  <w:style w:type="table" w:styleId="TableGrid">
    <w:name w:val="Table Grid"/>
    <w:basedOn w:val="TableNormal"/>
    <w:uiPriority w:val="39"/>
    <w:rsid w:val="00D967AE"/>
    <w:pPr>
      <w:spacing w:after="0" w:line="240" w:lineRule="auto"/>
    </w:pPr>
    <w:rPr>
      <w:rFonts w:asciiTheme="minorHAnsi" w:hAnsi="Times New Roman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7AE"/>
    <w:rPr>
      <w:rFonts w:ascii="Times New Roman" w:hAnsi="Times New Roman" w:cs="David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73061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0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theme="minorBidi"/>
        <w:sz w:val="24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AE"/>
    <w:pPr>
      <w:bidi/>
      <w:spacing w:after="0" w:line="240" w:lineRule="auto"/>
    </w:pPr>
    <w:rPr>
      <w:rFonts w:ascii="Times New Roman" w:hAnsi="Times New Roman" w:cs="David"/>
      <w:szCs w:val="24"/>
      <w:lang w:eastAsia="he-IL"/>
    </w:rPr>
  </w:style>
  <w:style w:type="paragraph" w:styleId="Heading3">
    <w:name w:val="heading 3"/>
    <w:basedOn w:val="Normal"/>
    <w:link w:val="Heading3Char"/>
    <w:uiPriority w:val="9"/>
    <w:qFormat/>
    <w:rsid w:val="0073061C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7AE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7AE"/>
    <w:rPr>
      <w:rFonts w:ascii="Times New Roman" w:hAnsi="Times New Roman" w:cs="David"/>
      <w:lang w:eastAsia="he-IL"/>
    </w:rPr>
  </w:style>
  <w:style w:type="table" w:styleId="TableGrid">
    <w:name w:val="Table Grid"/>
    <w:basedOn w:val="TableNormal"/>
    <w:uiPriority w:val="39"/>
    <w:rsid w:val="00D967AE"/>
    <w:pPr>
      <w:spacing w:after="0" w:line="240" w:lineRule="auto"/>
    </w:pPr>
    <w:rPr>
      <w:rFonts w:asciiTheme="minorHAnsi" w:hAnsi="Times New Roman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7AE"/>
    <w:rPr>
      <w:rFonts w:ascii="Times New Roman" w:hAnsi="Times New Roman" w:cs="David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73061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0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Sagir</dc:creator>
  <cp:lastModifiedBy>Michele Sagir</cp:lastModifiedBy>
  <cp:revision>10</cp:revision>
  <dcterms:created xsi:type="dcterms:W3CDTF">2020-12-08T08:58:00Z</dcterms:created>
  <dcterms:modified xsi:type="dcterms:W3CDTF">2020-12-08T11:32:00Z</dcterms:modified>
</cp:coreProperties>
</file>