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67"/>
        <w:gridCol w:w="6916"/>
      </w:tblGrid>
      <w:tr w:rsidR="0073061C" w:rsidRPr="00C856EA" w:rsidTr="00D67A54">
        <w:tc>
          <w:tcPr>
            <w:tcW w:w="1985" w:type="dxa"/>
          </w:tcPr>
          <w:p w:rsidR="0073061C" w:rsidRPr="00C856EA" w:rsidRDefault="0073061C" w:rsidP="0073061C">
            <w:pPr>
              <w:pStyle w:val="Header"/>
              <w:tabs>
                <w:tab w:val="left" w:pos="1701"/>
              </w:tabs>
              <w:bidi w:val="0"/>
              <w:rPr>
                <w:rFonts w:asciiTheme="majorHAnsi" w:hAnsiTheme="majorHAnsi"/>
                <w:sz w:val="24"/>
                <w:szCs w:val="26"/>
              </w:rPr>
            </w:pPr>
            <w:r w:rsidRPr="00C856EA">
              <w:rPr>
                <w:rFonts w:asciiTheme="majorHAnsi" w:hAnsiTheme="majorHAnsi"/>
                <w:sz w:val="24"/>
                <w:szCs w:val="26"/>
              </w:rPr>
              <w:t>Name of appendix:</w:t>
            </w:r>
          </w:p>
        </w:tc>
        <w:tc>
          <w:tcPr>
            <w:tcW w:w="7483" w:type="dxa"/>
            <w:gridSpan w:val="2"/>
          </w:tcPr>
          <w:p w:rsidR="0073061C" w:rsidRPr="00C856EA" w:rsidRDefault="00C91BDD" w:rsidP="00BA4B94">
            <w:pPr>
              <w:pStyle w:val="Heading1"/>
              <w:rPr>
                <w:rFonts w:asciiTheme="majorHAnsi" w:hAnsiTheme="majorHAnsi"/>
                <w:sz w:val="24"/>
              </w:rPr>
            </w:pPr>
            <w:r w:rsidRPr="00C856EA">
              <w:rPr>
                <w:sz w:val="24"/>
              </w:rPr>
              <w:t>Repair and cleaning of sewage pits</w:t>
            </w:r>
          </w:p>
        </w:tc>
      </w:tr>
      <w:tr w:rsidR="00D967AE" w:rsidRPr="00C856EA" w:rsidTr="001D1D69">
        <w:tc>
          <w:tcPr>
            <w:tcW w:w="1985" w:type="dxa"/>
          </w:tcPr>
          <w:p w:rsidR="00D967AE" w:rsidRPr="00C856EA" w:rsidRDefault="00D967AE" w:rsidP="00D967AE">
            <w:pPr>
              <w:pStyle w:val="Header"/>
              <w:tabs>
                <w:tab w:val="left" w:pos="1701"/>
              </w:tabs>
              <w:bidi w:val="0"/>
              <w:rPr>
                <w:rFonts w:asciiTheme="majorHAnsi" w:hAnsiTheme="majorHAnsi"/>
                <w:sz w:val="24"/>
                <w:szCs w:val="24"/>
              </w:rPr>
            </w:pPr>
          </w:p>
        </w:tc>
        <w:tc>
          <w:tcPr>
            <w:tcW w:w="567" w:type="dxa"/>
          </w:tcPr>
          <w:p w:rsidR="00D967AE" w:rsidRPr="00C856EA" w:rsidRDefault="00D967AE" w:rsidP="00D967AE">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1.</w:t>
            </w:r>
          </w:p>
        </w:tc>
        <w:tc>
          <w:tcPr>
            <w:tcW w:w="6916" w:type="dxa"/>
          </w:tcPr>
          <w:p w:rsidR="00D967AE" w:rsidRPr="00C856EA" w:rsidRDefault="00455968" w:rsidP="00BA4B94">
            <w:pPr>
              <w:bidi w:val="0"/>
              <w:rPr>
                <w:rFonts w:asciiTheme="majorHAnsi" w:hAnsiTheme="majorHAnsi"/>
                <w:sz w:val="24"/>
              </w:rPr>
            </w:pPr>
            <w:r w:rsidRPr="00C856EA">
              <w:rPr>
                <w:rFonts w:asciiTheme="majorHAnsi" w:hAnsiTheme="majorHAnsi"/>
                <w:sz w:val="24"/>
              </w:rPr>
              <w:t>Given the variety and frequent changes in the substances that enter the sewage system, it is necessary to take into consideration all reasonable risks such as: risks of explosion, fire, corrosion, poisoning, biological contamination, radioactive contamination, and so on.</w:t>
            </w:r>
          </w:p>
        </w:tc>
      </w:tr>
      <w:tr w:rsidR="00D967AE" w:rsidRPr="00C856EA" w:rsidTr="001D1D69">
        <w:tc>
          <w:tcPr>
            <w:tcW w:w="1985" w:type="dxa"/>
          </w:tcPr>
          <w:p w:rsidR="000C0340" w:rsidRPr="00C856EA" w:rsidRDefault="000C0340" w:rsidP="000C0340">
            <w:pPr>
              <w:pStyle w:val="Header"/>
              <w:tabs>
                <w:tab w:val="left" w:pos="2127"/>
              </w:tabs>
              <w:bidi w:val="0"/>
              <w:rPr>
                <w:rFonts w:asciiTheme="majorHAnsi" w:hAnsiTheme="majorHAnsi"/>
                <w:sz w:val="24"/>
                <w:szCs w:val="24"/>
              </w:rPr>
            </w:pPr>
          </w:p>
        </w:tc>
        <w:tc>
          <w:tcPr>
            <w:tcW w:w="567" w:type="dxa"/>
          </w:tcPr>
          <w:p w:rsidR="00D967AE" w:rsidRPr="00C856EA" w:rsidRDefault="00D967AE" w:rsidP="00D967AE">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2.</w:t>
            </w:r>
          </w:p>
        </w:tc>
        <w:tc>
          <w:tcPr>
            <w:tcW w:w="6916" w:type="dxa"/>
          </w:tcPr>
          <w:p w:rsidR="00D967AE" w:rsidRPr="00C856EA" w:rsidRDefault="00455968" w:rsidP="00CC30FB">
            <w:pPr>
              <w:pStyle w:val="Header"/>
              <w:bidi w:val="0"/>
              <w:spacing w:after="120" w:line="276" w:lineRule="auto"/>
              <w:rPr>
                <w:rFonts w:asciiTheme="majorHAnsi" w:hAnsiTheme="majorHAnsi"/>
                <w:sz w:val="24"/>
                <w:szCs w:val="24"/>
              </w:rPr>
            </w:pPr>
            <w:r w:rsidRPr="00C856EA">
              <w:rPr>
                <w:rFonts w:asciiTheme="majorHAnsi" w:hAnsiTheme="majorHAnsi"/>
                <w:sz w:val="24"/>
                <w:szCs w:val="24"/>
              </w:rPr>
              <w:t>Work to clean sewage pits must be performed solely according to the guidelines of the unit manager or acting manager, and on the date specified in the guideline (date, time).</w:t>
            </w:r>
          </w:p>
        </w:tc>
      </w:tr>
      <w:tr w:rsidR="00D967AE" w:rsidRPr="00C856EA" w:rsidTr="001D1D69">
        <w:tc>
          <w:tcPr>
            <w:tcW w:w="1985" w:type="dxa"/>
          </w:tcPr>
          <w:p w:rsidR="00D967AE" w:rsidRPr="00C856EA" w:rsidRDefault="00D967AE" w:rsidP="00D967AE">
            <w:pPr>
              <w:pStyle w:val="Header"/>
              <w:tabs>
                <w:tab w:val="left" w:pos="1701"/>
              </w:tabs>
              <w:bidi w:val="0"/>
              <w:spacing w:after="120" w:line="276" w:lineRule="auto"/>
              <w:rPr>
                <w:rFonts w:asciiTheme="majorHAnsi" w:hAnsiTheme="majorHAnsi"/>
                <w:sz w:val="24"/>
                <w:szCs w:val="24"/>
              </w:rPr>
            </w:pPr>
          </w:p>
        </w:tc>
        <w:tc>
          <w:tcPr>
            <w:tcW w:w="567" w:type="dxa"/>
          </w:tcPr>
          <w:p w:rsidR="00D967AE" w:rsidRPr="00C856EA" w:rsidRDefault="00D967AE" w:rsidP="00D967AE">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3.</w:t>
            </w:r>
          </w:p>
        </w:tc>
        <w:tc>
          <w:tcPr>
            <w:tcW w:w="6916" w:type="dxa"/>
          </w:tcPr>
          <w:p w:rsidR="00D967AE" w:rsidRPr="00C856EA" w:rsidRDefault="00455968" w:rsidP="00455968">
            <w:pPr>
              <w:pStyle w:val="Header"/>
              <w:bidi w:val="0"/>
              <w:spacing w:after="120" w:line="276" w:lineRule="auto"/>
              <w:ind w:left="33" w:hanging="33"/>
              <w:rPr>
                <w:rFonts w:asciiTheme="majorHAnsi" w:hAnsiTheme="majorHAnsi"/>
                <w:sz w:val="24"/>
                <w:szCs w:val="24"/>
              </w:rPr>
            </w:pPr>
            <w:r w:rsidRPr="00C856EA">
              <w:rPr>
                <w:rFonts w:asciiTheme="majorHAnsi" w:hAnsiTheme="majorHAnsi"/>
                <w:sz w:val="24"/>
                <w:szCs w:val="24"/>
              </w:rPr>
              <w:t>In any case where the pit cover is opened, the opening must be fenced in a safe and proper manner. The cover, work tools, auxiliary materials, etc. related to the work will be located within the abovementioned fenced area. During nighttime hours there must be sufficient lighting at the site.</w:t>
            </w:r>
          </w:p>
        </w:tc>
      </w:tr>
      <w:tr w:rsidR="00D967AE" w:rsidRPr="00C856EA" w:rsidTr="001D1D69">
        <w:tc>
          <w:tcPr>
            <w:tcW w:w="1985" w:type="dxa"/>
            <w:noWrap/>
            <w:tcFitText/>
            <w:vAlign w:val="center"/>
          </w:tcPr>
          <w:p w:rsidR="00D967AE" w:rsidRPr="00C856EA" w:rsidRDefault="00D967AE" w:rsidP="00D967AE">
            <w:pPr>
              <w:pStyle w:val="Header"/>
              <w:tabs>
                <w:tab w:val="left" w:pos="1701"/>
              </w:tabs>
              <w:bidi w:val="0"/>
              <w:spacing w:after="120" w:line="276" w:lineRule="auto"/>
              <w:jc w:val="center"/>
              <w:rPr>
                <w:rFonts w:asciiTheme="majorHAnsi" w:hAnsiTheme="majorHAnsi"/>
                <w:sz w:val="24"/>
                <w:szCs w:val="24"/>
              </w:rPr>
            </w:pPr>
          </w:p>
        </w:tc>
        <w:tc>
          <w:tcPr>
            <w:tcW w:w="567" w:type="dxa"/>
          </w:tcPr>
          <w:p w:rsidR="00D967AE" w:rsidRPr="00C856EA" w:rsidRDefault="00D967AE" w:rsidP="00D967AE">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4.</w:t>
            </w:r>
          </w:p>
        </w:tc>
        <w:tc>
          <w:tcPr>
            <w:tcW w:w="6916" w:type="dxa"/>
          </w:tcPr>
          <w:p w:rsidR="00D967AE" w:rsidRPr="00C856EA" w:rsidRDefault="00053582" w:rsidP="00053582">
            <w:pPr>
              <w:pStyle w:val="Header"/>
              <w:bidi w:val="0"/>
              <w:spacing w:after="120" w:line="276" w:lineRule="auto"/>
              <w:rPr>
                <w:rFonts w:asciiTheme="majorHAnsi" w:hAnsiTheme="majorHAnsi"/>
                <w:sz w:val="24"/>
                <w:szCs w:val="24"/>
              </w:rPr>
            </w:pPr>
            <w:r w:rsidRPr="00C856EA">
              <w:rPr>
                <w:rFonts w:asciiTheme="majorHAnsi" w:hAnsiTheme="majorHAnsi"/>
                <w:sz w:val="24"/>
                <w:szCs w:val="24"/>
              </w:rPr>
              <w:t>C</w:t>
            </w:r>
            <w:r w:rsidR="00455968" w:rsidRPr="00C856EA">
              <w:rPr>
                <w:rFonts w:asciiTheme="majorHAnsi" w:hAnsiTheme="majorHAnsi"/>
                <w:sz w:val="24"/>
                <w:szCs w:val="24"/>
              </w:rPr>
              <w:t>overs</w:t>
            </w:r>
            <w:r w:rsidR="00685EC9" w:rsidRPr="00C856EA">
              <w:rPr>
                <w:rFonts w:asciiTheme="majorHAnsi" w:hAnsiTheme="majorHAnsi"/>
                <w:sz w:val="24"/>
                <w:szCs w:val="24"/>
              </w:rPr>
              <w:t>, tools and materials will be kept at a safe distance from the opening to ensure that nothing falls inside. This distance will not be less than 1.0 m in any case.</w:t>
            </w:r>
          </w:p>
        </w:tc>
      </w:tr>
      <w:tr w:rsidR="00D967AE" w:rsidRPr="00C856EA" w:rsidTr="001D1D69">
        <w:tc>
          <w:tcPr>
            <w:tcW w:w="1985" w:type="dxa"/>
            <w:noWrap/>
            <w:tcFitText/>
            <w:vAlign w:val="center"/>
          </w:tcPr>
          <w:p w:rsidR="00D967AE" w:rsidRPr="00C856EA" w:rsidRDefault="00D967AE" w:rsidP="00D967AE">
            <w:pPr>
              <w:pStyle w:val="Header"/>
              <w:tabs>
                <w:tab w:val="left" w:pos="1418"/>
              </w:tabs>
              <w:bidi w:val="0"/>
              <w:spacing w:after="120" w:line="276" w:lineRule="auto"/>
              <w:ind w:left="1418" w:hanging="1418"/>
              <w:jc w:val="center"/>
              <w:rPr>
                <w:rFonts w:asciiTheme="majorHAnsi" w:hAnsiTheme="majorHAnsi"/>
                <w:spacing w:val="1"/>
                <w:w w:val="99"/>
                <w:sz w:val="24"/>
                <w:szCs w:val="24"/>
              </w:rPr>
            </w:pPr>
          </w:p>
        </w:tc>
        <w:tc>
          <w:tcPr>
            <w:tcW w:w="567" w:type="dxa"/>
          </w:tcPr>
          <w:p w:rsidR="00D967AE" w:rsidRPr="00C856EA" w:rsidRDefault="00D967AE" w:rsidP="00D967AE">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5.</w:t>
            </w:r>
          </w:p>
        </w:tc>
        <w:tc>
          <w:tcPr>
            <w:tcW w:w="6916" w:type="dxa"/>
          </w:tcPr>
          <w:p w:rsidR="00D967AE" w:rsidRPr="00C856EA" w:rsidRDefault="00685EC9" w:rsidP="00270223">
            <w:pPr>
              <w:pStyle w:val="Header"/>
              <w:bidi w:val="0"/>
              <w:spacing w:after="120" w:line="276" w:lineRule="auto"/>
              <w:ind w:firstLine="33"/>
              <w:rPr>
                <w:rFonts w:asciiTheme="majorHAnsi" w:hAnsiTheme="majorHAnsi"/>
                <w:sz w:val="24"/>
                <w:szCs w:val="24"/>
              </w:rPr>
            </w:pPr>
            <w:r w:rsidRPr="00C856EA">
              <w:rPr>
                <w:rFonts w:asciiTheme="majorHAnsi" w:hAnsiTheme="majorHAnsi"/>
                <w:sz w:val="24"/>
                <w:szCs w:val="24"/>
              </w:rPr>
              <w:t>Before entering the pit, the worker will check whether the rim and sides of the opening are in good condition and there is no danger of collapse, disintegration, etc.</w:t>
            </w:r>
          </w:p>
        </w:tc>
      </w:tr>
      <w:tr w:rsidR="00D967AE" w:rsidRPr="00C856EA" w:rsidTr="001D1D69">
        <w:tc>
          <w:tcPr>
            <w:tcW w:w="1985" w:type="dxa"/>
            <w:noWrap/>
            <w:tcFitText/>
            <w:vAlign w:val="center"/>
          </w:tcPr>
          <w:p w:rsidR="00D967AE" w:rsidRPr="00C856EA" w:rsidRDefault="00D967AE" w:rsidP="00D967AE">
            <w:pPr>
              <w:pStyle w:val="Header"/>
              <w:tabs>
                <w:tab w:val="left" w:pos="1418"/>
              </w:tabs>
              <w:bidi w:val="0"/>
              <w:spacing w:after="120" w:line="276" w:lineRule="auto"/>
              <w:ind w:left="1418" w:hanging="1418"/>
              <w:jc w:val="center"/>
              <w:rPr>
                <w:rFonts w:asciiTheme="majorHAnsi" w:hAnsiTheme="majorHAnsi"/>
                <w:spacing w:val="1"/>
                <w:w w:val="99"/>
                <w:sz w:val="24"/>
                <w:szCs w:val="24"/>
              </w:rPr>
            </w:pPr>
          </w:p>
        </w:tc>
        <w:tc>
          <w:tcPr>
            <w:tcW w:w="567" w:type="dxa"/>
          </w:tcPr>
          <w:p w:rsidR="00D967AE" w:rsidRPr="00C856EA" w:rsidRDefault="00D967AE" w:rsidP="00D967AE">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6.</w:t>
            </w:r>
          </w:p>
        </w:tc>
        <w:tc>
          <w:tcPr>
            <w:tcW w:w="6916" w:type="dxa"/>
          </w:tcPr>
          <w:p w:rsidR="00D967AE" w:rsidRPr="00C856EA" w:rsidRDefault="006278F6" w:rsidP="00270223">
            <w:pPr>
              <w:pStyle w:val="Header"/>
              <w:bidi w:val="0"/>
              <w:spacing w:after="120" w:line="276" w:lineRule="auto"/>
              <w:rPr>
                <w:rFonts w:asciiTheme="majorHAnsi" w:hAnsiTheme="majorHAnsi"/>
                <w:sz w:val="24"/>
                <w:szCs w:val="24"/>
              </w:rPr>
            </w:pPr>
            <w:r w:rsidRPr="00C856EA">
              <w:rPr>
                <w:rFonts w:asciiTheme="majorHAnsi" w:hAnsiTheme="majorHAnsi"/>
                <w:sz w:val="24"/>
                <w:szCs w:val="24"/>
              </w:rPr>
              <w:t>If the pit is not dry, the sewage must be pumped out and check</w:t>
            </w:r>
            <w:r w:rsidR="00BA4B94" w:rsidRPr="00C856EA">
              <w:rPr>
                <w:rFonts w:asciiTheme="majorHAnsi" w:hAnsiTheme="majorHAnsi"/>
                <w:sz w:val="24"/>
                <w:szCs w:val="24"/>
              </w:rPr>
              <w:t>ed</w:t>
            </w:r>
            <w:r w:rsidRPr="00C856EA">
              <w:rPr>
                <w:rFonts w:asciiTheme="majorHAnsi" w:hAnsiTheme="majorHAnsi"/>
                <w:sz w:val="24"/>
                <w:szCs w:val="24"/>
              </w:rPr>
              <w:t xml:space="preserve"> th</w:t>
            </w:r>
            <w:r w:rsidR="00053582" w:rsidRPr="00C856EA">
              <w:rPr>
                <w:rFonts w:asciiTheme="majorHAnsi" w:hAnsiTheme="majorHAnsi"/>
                <w:sz w:val="24"/>
                <w:szCs w:val="24"/>
              </w:rPr>
              <w:t>a</w:t>
            </w:r>
            <w:r w:rsidRPr="00C856EA">
              <w:rPr>
                <w:rFonts w:asciiTheme="majorHAnsi" w:hAnsiTheme="majorHAnsi"/>
                <w:sz w:val="24"/>
                <w:szCs w:val="24"/>
              </w:rPr>
              <w:t>t there is no danger of a sudden flood.</w:t>
            </w:r>
          </w:p>
        </w:tc>
      </w:tr>
      <w:tr w:rsidR="000C0340" w:rsidRPr="00C856EA" w:rsidTr="001D1D69">
        <w:tc>
          <w:tcPr>
            <w:tcW w:w="1985" w:type="dxa"/>
          </w:tcPr>
          <w:p w:rsidR="000C0340" w:rsidRPr="00C856EA" w:rsidRDefault="000C0340" w:rsidP="003D2156">
            <w:pPr>
              <w:pStyle w:val="Header"/>
              <w:tabs>
                <w:tab w:val="left" w:pos="2127"/>
              </w:tabs>
              <w:bidi w:val="0"/>
              <w:rPr>
                <w:rFonts w:asciiTheme="majorHAnsi" w:hAnsiTheme="majorHAnsi"/>
                <w:sz w:val="24"/>
                <w:szCs w:val="24"/>
              </w:rPr>
            </w:pPr>
          </w:p>
        </w:tc>
        <w:tc>
          <w:tcPr>
            <w:tcW w:w="567" w:type="dxa"/>
          </w:tcPr>
          <w:p w:rsidR="000C0340" w:rsidRPr="00C856EA" w:rsidRDefault="000C0340" w:rsidP="003D2156">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7</w:t>
            </w:r>
            <w:r w:rsidRPr="00C856EA">
              <w:rPr>
                <w:rFonts w:asciiTheme="majorHAnsi" w:hAnsiTheme="majorHAnsi"/>
                <w:sz w:val="24"/>
                <w:szCs w:val="24"/>
              </w:rPr>
              <w:t>.</w:t>
            </w:r>
          </w:p>
        </w:tc>
        <w:tc>
          <w:tcPr>
            <w:tcW w:w="6916" w:type="dxa"/>
          </w:tcPr>
          <w:p w:rsidR="000C0340" w:rsidRPr="00C856EA" w:rsidRDefault="006278F6" w:rsidP="003D2156">
            <w:pPr>
              <w:pStyle w:val="Header"/>
              <w:bidi w:val="0"/>
              <w:spacing w:after="120" w:line="276" w:lineRule="auto"/>
              <w:rPr>
                <w:rFonts w:asciiTheme="majorHAnsi" w:hAnsiTheme="majorHAnsi"/>
                <w:sz w:val="24"/>
                <w:szCs w:val="24"/>
              </w:rPr>
            </w:pPr>
            <w:r w:rsidRPr="00C856EA">
              <w:rPr>
                <w:rFonts w:asciiTheme="majorHAnsi" w:hAnsiTheme="majorHAnsi"/>
                <w:sz w:val="24"/>
                <w:szCs w:val="24"/>
              </w:rPr>
              <w:t>In no case will the worker enter the pit if it is deeper than 1.2 m unless he is connected to a safety harness and there are two safety ropes connected to the harness that are held by two assistants.</w:t>
            </w:r>
          </w:p>
        </w:tc>
      </w:tr>
      <w:tr w:rsidR="00087749" w:rsidRPr="00C856EA" w:rsidTr="001D1D69">
        <w:tc>
          <w:tcPr>
            <w:tcW w:w="1985" w:type="dxa"/>
          </w:tcPr>
          <w:p w:rsidR="00087749" w:rsidRPr="00C856EA" w:rsidRDefault="00087749" w:rsidP="003D2156">
            <w:pPr>
              <w:pStyle w:val="Header"/>
              <w:tabs>
                <w:tab w:val="left" w:pos="2127"/>
              </w:tabs>
              <w:bidi w:val="0"/>
              <w:rPr>
                <w:rFonts w:asciiTheme="majorHAnsi" w:hAnsiTheme="majorHAnsi"/>
                <w:sz w:val="24"/>
                <w:szCs w:val="24"/>
              </w:rPr>
            </w:pPr>
          </w:p>
        </w:tc>
        <w:tc>
          <w:tcPr>
            <w:tcW w:w="567" w:type="dxa"/>
          </w:tcPr>
          <w:p w:rsidR="00087749" w:rsidRPr="00C856EA" w:rsidRDefault="00087749" w:rsidP="003D2156">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8.</w:t>
            </w:r>
          </w:p>
        </w:tc>
        <w:tc>
          <w:tcPr>
            <w:tcW w:w="6916" w:type="dxa"/>
          </w:tcPr>
          <w:p w:rsidR="00087749" w:rsidRPr="00C856EA" w:rsidRDefault="006278F6" w:rsidP="006278F6">
            <w:pPr>
              <w:pStyle w:val="Header"/>
              <w:bidi w:val="0"/>
              <w:spacing w:after="120" w:line="276" w:lineRule="auto"/>
              <w:rPr>
                <w:rFonts w:asciiTheme="majorHAnsi" w:hAnsiTheme="majorHAnsi"/>
                <w:sz w:val="24"/>
                <w:szCs w:val="24"/>
              </w:rPr>
            </w:pPr>
            <w:r w:rsidRPr="00C856EA">
              <w:rPr>
                <w:rFonts w:asciiTheme="majorHAnsi" w:hAnsiTheme="majorHAnsi"/>
                <w:sz w:val="24"/>
                <w:szCs w:val="24"/>
              </w:rPr>
              <w:t xml:space="preserve">The assistants holding the above safety ropes will maintain continuous eye contact with the worker inside the pit, but will stand next to the open pit rim at a distance </w:t>
            </w:r>
            <w:r w:rsidR="00BA4B94" w:rsidRPr="00C856EA">
              <w:rPr>
                <w:rFonts w:asciiTheme="majorHAnsi" w:hAnsiTheme="majorHAnsi"/>
                <w:sz w:val="24"/>
                <w:szCs w:val="24"/>
              </w:rPr>
              <w:t xml:space="preserve">of </w:t>
            </w:r>
            <w:r w:rsidRPr="00C856EA">
              <w:rPr>
                <w:rFonts w:asciiTheme="majorHAnsi" w:hAnsiTheme="majorHAnsi"/>
                <w:sz w:val="24"/>
                <w:szCs w:val="24"/>
              </w:rPr>
              <w:t>no less than 1.5 m.</w:t>
            </w:r>
          </w:p>
        </w:tc>
      </w:tr>
      <w:tr w:rsidR="00087749" w:rsidRPr="00C856EA" w:rsidTr="001D1D69">
        <w:tc>
          <w:tcPr>
            <w:tcW w:w="1985" w:type="dxa"/>
          </w:tcPr>
          <w:p w:rsidR="00087749" w:rsidRPr="00C856EA" w:rsidRDefault="00087749" w:rsidP="003D2156">
            <w:pPr>
              <w:pStyle w:val="Header"/>
              <w:tabs>
                <w:tab w:val="left" w:pos="2127"/>
              </w:tabs>
              <w:bidi w:val="0"/>
              <w:rPr>
                <w:rFonts w:asciiTheme="majorHAnsi" w:hAnsiTheme="majorHAnsi"/>
                <w:sz w:val="24"/>
                <w:szCs w:val="24"/>
              </w:rPr>
            </w:pPr>
          </w:p>
        </w:tc>
        <w:tc>
          <w:tcPr>
            <w:tcW w:w="567" w:type="dxa"/>
          </w:tcPr>
          <w:p w:rsidR="00087749" w:rsidRPr="00C856EA" w:rsidRDefault="00C17F33" w:rsidP="003D2156">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9.</w:t>
            </w:r>
          </w:p>
        </w:tc>
        <w:tc>
          <w:tcPr>
            <w:tcW w:w="6916" w:type="dxa"/>
          </w:tcPr>
          <w:p w:rsidR="00087749" w:rsidRPr="00C856EA" w:rsidRDefault="00FD67B0" w:rsidP="00BA4B94">
            <w:pPr>
              <w:pStyle w:val="Header"/>
              <w:bidi w:val="0"/>
              <w:spacing w:after="120" w:line="276" w:lineRule="auto"/>
              <w:rPr>
                <w:rFonts w:asciiTheme="majorHAnsi" w:hAnsiTheme="majorHAnsi"/>
                <w:sz w:val="24"/>
                <w:szCs w:val="24"/>
              </w:rPr>
            </w:pPr>
            <w:r w:rsidRPr="00C856EA">
              <w:rPr>
                <w:rFonts w:asciiTheme="majorHAnsi" w:hAnsiTheme="majorHAnsi"/>
                <w:sz w:val="24"/>
                <w:szCs w:val="24"/>
              </w:rPr>
              <w:t>The workers inside and next to the pit will not smoke and will not use any other open flame</w:t>
            </w:r>
            <w:r w:rsidR="00B1504C" w:rsidRPr="00C856EA">
              <w:rPr>
                <w:rFonts w:asciiTheme="majorHAnsi" w:hAnsiTheme="majorHAnsi"/>
                <w:sz w:val="24"/>
                <w:szCs w:val="24"/>
              </w:rPr>
              <w:t xml:space="preserve"> or anything that can cause a spark </w:t>
            </w:r>
            <w:r w:rsidR="00B1504C" w:rsidRPr="00C856EA">
              <w:rPr>
                <w:rFonts w:asciiTheme="majorHAnsi" w:hAnsiTheme="majorHAnsi"/>
                <w:sz w:val="24"/>
                <w:szCs w:val="24"/>
              </w:rPr>
              <w:lastRenderedPageBreak/>
              <w:t xml:space="preserve">or </w:t>
            </w:r>
            <w:r w:rsidR="00BA4B94" w:rsidRPr="00C856EA">
              <w:rPr>
                <w:rFonts w:asciiTheme="majorHAnsi" w:hAnsiTheme="majorHAnsi"/>
                <w:sz w:val="24"/>
                <w:szCs w:val="24"/>
              </w:rPr>
              <w:t xml:space="preserve">having a exposed </w:t>
            </w:r>
            <w:r w:rsidR="00B1504C" w:rsidRPr="00C856EA">
              <w:rPr>
                <w:rFonts w:asciiTheme="majorHAnsi" w:hAnsiTheme="majorHAnsi"/>
                <w:sz w:val="24"/>
                <w:szCs w:val="24"/>
              </w:rPr>
              <w:t>element – except with authorization from the unit network</w:t>
            </w:r>
            <w:bookmarkStart w:id="0" w:name="_GoBack"/>
            <w:bookmarkEnd w:id="0"/>
            <w:r w:rsidR="00B1504C" w:rsidRPr="00C856EA">
              <w:rPr>
                <w:rFonts w:asciiTheme="majorHAnsi" w:hAnsiTheme="majorHAnsi"/>
                <w:sz w:val="24"/>
                <w:szCs w:val="24"/>
              </w:rPr>
              <w:t>.</w:t>
            </w:r>
          </w:p>
          <w:p w:rsidR="00B1504C" w:rsidRPr="00C856EA" w:rsidRDefault="00B1504C" w:rsidP="00BA4B94">
            <w:pPr>
              <w:pStyle w:val="Header"/>
              <w:bidi w:val="0"/>
              <w:spacing w:after="120" w:line="276" w:lineRule="auto"/>
              <w:rPr>
                <w:rFonts w:asciiTheme="majorHAnsi" w:hAnsiTheme="majorHAnsi"/>
                <w:sz w:val="24"/>
                <w:szCs w:val="24"/>
                <w:rtl/>
              </w:rPr>
            </w:pPr>
            <w:r w:rsidRPr="00C856EA">
              <w:rPr>
                <w:rFonts w:asciiTheme="majorHAnsi" w:hAnsiTheme="majorHAnsi"/>
                <w:sz w:val="24"/>
                <w:szCs w:val="24"/>
              </w:rPr>
              <w:t xml:space="preserve">The workers will ensure by means of fencing, signposts or a </w:t>
            </w:r>
            <w:r w:rsidR="00BA4B94" w:rsidRPr="00C856EA">
              <w:rPr>
                <w:rFonts w:asciiTheme="majorHAnsi" w:hAnsiTheme="majorHAnsi"/>
                <w:sz w:val="24"/>
                <w:szCs w:val="24"/>
              </w:rPr>
              <w:t>guard</w:t>
            </w:r>
            <w:r w:rsidRPr="00C856EA">
              <w:rPr>
                <w:rFonts w:asciiTheme="majorHAnsi" w:hAnsiTheme="majorHAnsi"/>
                <w:sz w:val="24"/>
                <w:szCs w:val="24"/>
              </w:rPr>
              <w:t xml:space="preserve"> that no unauthorized person will approach the work area with an open flame or other equipment that may ignite steam or burning gas. This regulation is binding for a radius of at least 5 m from the pit rim.</w:t>
            </w:r>
          </w:p>
        </w:tc>
      </w:tr>
      <w:tr w:rsidR="00087749" w:rsidRPr="00C856EA" w:rsidTr="001D1D69">
        <w:tc>
          <w:tcPr>
            <w:tcW w:w="1985" w:type="dxa"/>
          </w:tcPr>
          <w:p w:rsidR="00087749" w:rsidRPr="00C856EA" w:rsidRDefault="00087749" w:rsidP="003D2156">
            <w:pPr>
              <w:pStyle w:val="Header"/>
              <w:tabs>
                <w:tab w:val="left" w:pos="2127"/>
              </w:tabs>
              <w:bidi w:val="0"/>
              <w:rPr>
                <w:rFonts w:asciiTheme="majorHAnsi" w:hAnsiTheme="majorHAnsi"/>
                <w:sz w:val="24"/>
                <w:szCs w:val="24"/>
              </w:rPr>
            </w:pPr>
          </w:p>
        </w:tc>
        <w:tc>
          <w:tcPr>
            <w:tcW w:w="567" w:type="dxa"/>
          </w:tcPr>
          <w:p w:rsidR="00087749" w:rsidRPr="00C856EA" w:rsidRDefault="001D1D69" w:rsidP="003D2156">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10.</w:t>
            </w:r>
          </w:p>
        </w:tc>
        <w:tc>
          <w:tcPr>
            <w:tcW w:w="6916" w:type="dxa"/>
          </w:tcPr>
          <w:p w:rsidR="00087749" w:rsidRPr="00C856EA" w:rsidRDefault="00E315A6" w:rsidP="00E315A6">
            <w:pPr>
              <w:pStyle w:val="Header"/>
              <w:bidi w:val="0"/>
              <w:spacing w:after="120" w:line="276" w:lineRule="auto"/>
              <w:rPr>
                <w:rFonts w:asciiTheme="majorHAnsi" w:hAnsiTheme="majorHAnsi"/>
                <w:sz w:val="24"/>
                <w:szCs w:val="24"/>
              </w:rPr>
            </w:pPr>
            <w:r w:rsidRPr="00C856EA">
              <w:rPr>
                <w:rFonts w:asciiTheme="majorHAnsi" w:hAnsiTheme="majorHAnsi"/>
                <w:sz w:val="24"/>
                <w:szCs w:val="24"/>
              </w:rPr>
              <w:t>Before any work is performed inside the pit, it must be thoroughly ventilated for a half an hour at least. Pits that are deeper than 1.6 m and/or whose cross-section is greater than 2.0 m will be ventilated before entering by means of a blower (</w:t>
            </w:r>
            <w:r w:rsidR="00352F5B" w:rsidRPr="00C856EA">
              <w:rPr>
                <w:rFonts w:asciiTheme="majorHAnsi" w:hAnsiTheme="majorHAnsi"/>
                <w:sz w:val="24"/>
                <w:szCs w:val="24"/>
              </w:rPr>
              <w:t>apparatus for removing air) for at least 10 minutes. The blower will be kept in a safe place in accordance with Section 4 above.</w:t>
            </w:r>
          </w:p>
        </w:tc>
      </w:tr>
      <w:tr w:rsidR="00087749" w:rsidRPr="00C856EA" w:rsidTr="001D1D69">
        <w:tc>
          <w:tcPr>
            <w:tcW w:w="1985" w:type="dxa"/>
          </w:tcPr>
          <w:p w:rsidR="00087749" w:rsidRPr="00C856EA" w:rsidRDefault="00087749" w:rsidP="003D2156">
            <w:pPr>
              <w:pStyle w:val="Header"/>
              <w:tabs>
                <w:tab w:val="left" w:pos="2127"/>
              </w:tabs>
              <w:bidi w:val="0"/>
              <w:rPr>
                <w:rFonts w:asciiTheme="majorHAnsi" w:hAnsiTheme="majorHAnsi"/>
                <w:sz w:val="24"/>
                <w:szCs w:val="24"/>
              </w:rPr>
            </w:pPr>
          </w:p>
        </w:tc>
        <w:tc>
          <w:tcPr>
            <w:tcW w:w="567" w:type="dxa"/>
          </w:tcPr>
          <w:p w:rsidR="00087749" w:rsidRPr="00C856EA" w:rsidRDefault="001D1D69" w:rsidP="003D2156">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 xml:space="preserve">11. </w:t>
            </w:r>
          </w:p>
        </w:tc>
        <w:tc>
          <w:tcPr>
            <w:tcW w:w="6916" w:type="dxa"/>
          </w:tcPr>
          <w:p w:rsidR="00087749" w:rsidRPr="00C856EA" w:rsidRDefault="00352F5B" w:rsidP="003C2FAF">
            <w:pPr>
              <w:pStyle w:val="Header"/>
              <w:bidi w:val="0"/>
              <w:spacing w:after="120" w:line="276" w:lineRule="auto"/>
              <w:rPr>
                <w:rFonts w:asciiTheme="majorHAnsi" w:hAnsiTheme="majorHAnsi"/>
                <w:sz w:val="24"/>
                <w:szCs w:val="24"/>
              </w:rPr>
            </w:pPr>
            <w:r w:rsidRPr="00C856EA">
              <w:rPr>
                <w:rFonts w:asciiTheme="majorHAnsi" w:hAnsiTheme="majorHAnsi"/>
                <w:sz w:val="24"/>
                <w:szCs w:val="24"/>
              </w:rPr>
              <w:t>For any work that requires standing at a depth greater than 1.6 m, the person will be equipped with a face mask with a universal filter.</w:t>
            </w:r>
          </w:p>
        </w:tc>
      </w:tr>
      <w:tr w:rsidR="00087749" w:rsidRPr="00C856EA" w:rsidTr="001D1D69">
        <w:tc>
          <w:tcPr>
            <w:tcW w:w="1985" w:type="dxa"/>
          </w:tcPr>
          <w:p w:rsidR="00087749" w:rsidRPr="00C856EA" w:rsidRDefault="00087749" w:rsidP="003D2156">
            <w:pPr>
              <w:pStyle w:val="Header"/>
              <w:tabs>
                <w:tab w:val="left" w:pos="2127"/>
              </w:tabs>
              <w:bidi w:val="0"/>
              <w:rPr>
                <w:rFonts w:asciiTheme="majorHAnsi" w:hAnsiTheme="majorHAnsi"/>
                <w:sz w:val="24"/>
                <w:szCs w:val="24"/>
              </w:rPr>
            </w:pPr>
          </w:p>
        </w:tc>
        <w:tc>
          <w:tcPr>
            <w:tcW w:w="567" w:type="dxa"/>
          </w:tcPr>
          <w:p w:rsidR="00087749" w:rsidRPr="00C856EA" w:rsidRDefault="003C2FAF" w:rsidP="003D2156">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12.</w:t>
            </w:r>
          </w:p>
        </w:tc>
        <w:tc>
          <w:tcPr>
            <w:tcW w:w="6916" w:type="dxa"/>
          </w:tcPr>
          <w:p w:rsidR="00087749" w:rsidRPr="00C856EA" w:rsidRDefault="005A1985" w:rsidP="000242F9">
            <w:pPr>
              <w:pStyle w:val="Header"/>
              <w:bidi w:val="0"/>
              <w:spacing w:after="120" w:line="276" w:lineRule="auto"/>
              <w:rPr>
                <w:rFonts w:asciiTheme="majorHAnsi" w:hAnsiTheme="majorHAnsi"/>
                <w:sz w:val="24"/>
                <w:szCs w:val="24"/>
              </w:rPr>
            </w:pPr>
            <w:r w:rsidRPr="00C856EA">
              <w:rPr>
                <w:rFonts w:asciiTheme="majorHAnsi" w:hAnsiTheme="majorHAnsi"/>
                <w:sz w:val="24"/>
                <w:szCs w:val="24"/>
              </w:rPr>
              <w:t>A worker cleaning the pit and his colleagues at the site will be a</w:t>
            </w:r>
            <w:r w:rsidR="000242F9" w:rsidRPr="00C856EA">
              <w:rPr>
                <w:rFonts w:asciiTheme="majorHAnsi" w:hAnsiTheme="majorHAnsi"/>
                <w:sz w:val="24"/>
                <w:szCs w:val="24"/>
              </w:rPr>
              <w:t>lert</w:t>
            </w:r>
            <w:r w:rsidRPr="00C856EA">
              <w:rPr>
                <w:rFonts w:asciiTheme="majorHAnsi" w:hAnsiTheme="majorHAnsi"/>
                <w:sz w:val="24"/>
                <w:szCs w:val="24"/>
              </w:rPr>
              <w:t xml:space="preserve"> during the entire time of possible changes (penetration of hazardous substances or flooding into the pit). In the event that there is a concern this may occur, abandon the pit immediately.</w:t>
            </w:r>
          </w:p>
        </w:tc>
      </w:tr>
      <w:tr w:rsidR="004B6D05" w:rsidRPr="00C856EA" w:rsidTr="001D1D69">
        <w:tc>
          <w:tcPr>
            <w:tcW w:w="1985" w:type="dxa"/>
          </w:tcPr>
          <w:p w:rsidR="004B6D05" w:rsidRPr="00C856EA" w:rsidRDefault="004B6D05" w:rsidP="003D2156">
            <w:pPr>
              <w:pStyle w:val="Header"/>
              <w:tabs>
                <w:tab w:val="left" w:pos="2127"/>
              </w:tabs>
              <w:bidi w:val="0"/>
              <w:rPr>
                <w:rFonts w:asciiTheme="majorHAnsi" w:hAnsiTheme="majorHAnsi"/>
                <w:sz w:val="24"/>
                <w:szCs w:val="26"/>
              </w:rPr>
            </w:pPr>
          </w:p>
        </w:tc>
        <w:tc>
          <w:tcPr>
            <w:tcW w:w="567" w:type="dxa"/>
          </w:tcPr>
          <w:p w:rsidR="004B6D05" w:rsidRPr="00C856EA" w:rsidRDefault="004B6D05" w:rsidP="003D2156">
            <w:pPr>
              <w:pStyle w:val="Header"/>
              <w:tabs>
                <w:tab w:val="left" w:pos="1701"/>
              </w:tabs>
              <w:bidi w:val="0"/>
              <w:spacing w:after="120" w:line="276" w:lineRule="auto"/>
              <w:rPr>
                <w:rFonts w:asciiTheme="majorHAnsi" w:hAnsiTheme="majorHAnsi"/>
                <w:sz w:val="24"/>
                <w:szCs w:val="26"/>
              </w:rPr>
            </w:pPr>
            <w:r w:rsidRPr="00C856EA">
              <w:rPr>
                <w:rFonts w:asciiTheme="majorHAnsi" w:hAnsiTheme="majorHAnsi"/>
                <w:sz w:val="24"/>
                <w:szCs w:val="26"/>
              </w:rPr>
              <w:t>13.</w:t>
            </w:r>
          </w:p>
        </w:tc>
        <w:tc>
          <w:tcPr>
            <w:tcW w:w="6916" w:type="dxa"/>
          </w:tcPr>
          <w:p w:rsidR="004B6D05" w:rsidRPr="00C856EA" w:rsidRDefault="005A1985" w:rsidP="005A1985">
            <w:pPr>
              <w:pStyle w:val="Header"/>
              <w:bidi w:val="0"/>
              <w:spacing w:after="120" w:line="276" w:lineRule="auto"/>
              <w:rPr>
                <w:rFonts w:asciiTheme="majorHAnsi" w:hAnsiTheme="majorHAnsi"/>
                <w:sz w:val="24"/>
                <w:szCs w:val="26"/>
                <w:rtl/>
              </w:rPr>
            </w:pPr>
            <w:r w:rsidRPr="00C856EA">
              <w:rPr>
                <w:rFonts w:asciiTheme="majorHAnsi" w:hAnsiTheme="majorHAnsi"/>
                <w:sz w:val="24"/>
                <w:szCs w:val="26"/>
              </w:rPr>
              <w:t>At the end of the work, return all covers to their places and remove all tools and materials that might constitute a hazard to workers.</w:t>
            </w:r>
          </w:p>
        </w:tc>
      </w:tr>
      <w:tr w:rsidR="00800334" w:rsidRPr="00C856EA" w:rsidTr="001D1D69">
        <w:tc>
          <w:tcPr>
            <w:tcW w:w="1985" w:type="dxa"/>
          </w:tcPr>
          <w:p w:rsidR="00800334" w:rsidRPr="00C856EA" w:rsidRDefault="005A1985" w:rsidP="003D2156">
            <w:pPr>
              <w:pStyle w:val="Header"/>
              <w:tabs>
                <w:tab w:val="left" w:pos="2127"/>
              </w:tabs>
              <w:bidi w:val="0"/>
              <w:rPr>
                <w:rFonts w:asciiTheme="majorHAnsi" w:hAnsiTheme="majorHAnsi"/>
                <w:sz w:val="24"/>
                <w:szCs w:val="24"/>
              </w:rPr>
            </w:pPr>
            <w:r w:rsidRPr="00C856EA">
              <w:rPr>
                <w:rFonts w:asciiTheme="majorHAnsi" w:hAnsiTheme="majorHAnsi"/>
                <w:sz w:val="24"/>
                <w:szCs w:val="24"/>
              </w:rPr>
              <w:t>Responsible for performance</w:t>
            </w:r>
          </w:p>
        </w:tc>
        <w:tc>
          <w:tcPr>
            <w:tcW w:w="567" w:type="dxa"/>
          </w:tcPr>
          <w:p w:rsidR="00800334" w:rsidRPr="00C856EA" w:rsidRDefault="00800334" w:rsidP="003D2156">
            <w:pPr>
              <w:pStyle w:val="Header"/>
              <w:tabs>
                <w:tab w:val="left" w:pos="1701"/>
              </w:tabs>
              <w:bidi w:val="0"/>
              <w:spacing w:after="120" w:line="276" w:lineRule="auto"/>
              <w:rPr>
                <w:rFonts w:asciiTheme="majorHAnsi" w:hAnsiTheme="majorHAnsi"/>
                <w:sz w:val="24"/>
                <w:szCs w:val="24"/>
              </w:rPr>
            </w:pPr>
            <w:r w:rsidRPr="00C856EA">
              <w:rPr>
                <w:rFonts w:asciiTheme="majorHAnsi" w:hAnsiTheme="majorHAnsi"/>
                <w:sz w:val="24"/>
                <w:szCs w:val="24"/>
              </w:rPr>
              <w:t>14.</w:t>
            </w:r>
          </w:p>
        </w:tc>
        <w:tc>
          <w:tcPr>
            <w:tcW w:w="6916" w:type="dxa"/>
          </w:tcPr>
          <w:p w:rsidR="00800334" w:rsidRPr="00C856EA" w:rsidRDefault="00053582" w:rsidP="00053582">
            <w:pPr>
              <w:pStyle w:val="Header"/>
              <w:bidi w:val="0"/>
              <w:spacing w:after="120" w:line="276" w:lineRule="auto"/>
              <w:rPr>
                <w:rFonts w:asciiTheme="majorHAnsi" w:hAnsiTheme="majorHAnsi"/>
                <w:sz w:val="24"/>
                <w:szCs w:val="24"/>
              </w:rPr>
            </w:pPr>
            <w:r w:rsidRPr="00C856EA">
              <w:rPr>
                <w:rFonts w:asciiTheme="majorHAnsi" w:hAnsiTheme="majorHAnsi"/>
                <w:sz w:val="24"/>
                <w:szCs w:val="24"/>
              </w:rPr>
              <w:t>The head of the plumber’s unit is responsible for performance of these instructions.</w:t>
            </w:r>
          </w:p>
        </w:tc>
      </w:tr>
    </w:tbl>
    <w:p w:rsidR="00C223C3" w:rsidRPr="00C856EA" w:rsidRDefault="00C223C3" w:rsidP="00D967AE">
      <w:pPr>
        <w:pStyle w:val="Footer"/>
        <w:tabs>
          <w:tab w:val="clear" w:pos="4680"/>
          <w:tab w:val="clear" w:pos="9360"/>
        </w:tabs>
        <w:bidi w:val="0"/>
      </w:pPr>
    </w:p>
    <w:p w:rsidR="00C856EA" w:rsidRPr="00C856EA" w:rsidRDefault="00C856EA">
      <w:pPr>
        <w:pStyle w:val="Footer"/>
        <w:tabs>
          <w:tab w:val="clear" w:pos="4680"/>
          <w:tab w:val="clear" w:pos="9360"/>
        </w:tabs>
        <w:bidi w:val="0"/>
      </w:pPr>
    </w:p>
    <w:sectPr w:rsidR="00C856EA" w:rsidRPr="00C856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E1" w:rsidRDefault="008568E1" w:rsidP="00D967AE">
      <w:r>
        <w:separator/>
      </w:r>
    </w:p>
  </w:endnote>
  <w:endnote w:type="continuationSeparator" w:id="0">
    <w:p w:rsidR="008568E1" w:rsidRDefault="008568E1" w:rsidP="00D9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E1" w:rsidRDefault="008568E1" w:rsidP="00D967AE">
      <w:r>
        <w:separator/>
      </w:r>
    </w:p>
  </w:footnote>
  <w:footnote w:type="continuationSeparator" w:id="0">
    <w:p w:rsidR="008568E1" w:rsidRDefault="008568E1" w:rsidP="00D96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AE" w:rsidRPr="00485037" w:rsidRDefault="00D967AE" w:rsidP="00D967AE">
    <w:pPr>
      <w:pStyle w:val="Header"/>
      <w:bidi w:val="0"/>
      <w:jc w:val="center"/>
      <w:rPr>
        <w:rFonts w:ascii="Cambria" w:hAnsi="Cambria"/>
        <w:b/>
        <w:bCs/>
        <w:sz w:val="26"/>
        <w:szCs w:val="26"/>
      </w:rPr>
    </w:pPr>
    <w:r w:rsidRPr="00485037">
      <w:rPr>
        <w:rFonts w:ascii="Cambria" w:hAnsi="Cambria"/>
        <w:b/>
        <w:bCs/>
        <w:sz w:val="26"/>
        <w:szCs w:val="26"/>
      </w:rPr>
      <w:t>Tel Aviv University</w:t>
    </w:r>
  </w:p>
  <w:p w:rsidR="00D967AE" w:rsidRPr="00485037" w:rsidRDefault="00D967AE" w:rsidP="00D967AE">
    <w:pPr>
      <w:pStyle w:val="Header"/>
      <w:bidi w:val="0"/>
      <w:jc w:val="center"/>
      <w:rPr>
        <w:rFonts w:ascii="Cambria" w:hAnsi="Cambria"/>
        <w:szCs w:val="24"/>
      </w:rPr>
    </w:pPr>
    <w:r w:rsidRPr="00485037">
      <w:rPr>
        <w:rFonts w:ascii="Cambria" w:hAnsi="Cambria"/>
        <w:szCs w:val="24"/>
      </w:rPr>
      <w:t>Safety Unit</w:t>
    </w:r>
  </w:p>
  <w:p w:rsidR="00D967AE" w:rsidRPr="00485037" w:rsidRDefault="00D967AE" w:rsidP="00D967AE">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989"/>
      <w:gridCol w:w="1514"/>
      <w:gridCol w:w="2007"/>
      <w:gridCol w:w="1829"/>
    </w:tblGrid>
    <w:tr w:rsidR="00D967AE" w:rsidRPr="00485037" w:rsidTr="003D2156">
      <w:trPr>
        <w:jc w:val="center"/>
      </w:trPr>
      <w:tc>
        <w:tcPr>
          <w:tcW w:w="3256" w:type="dxa"/>
          <w:tcBorders>
            <w:bottom w:val="single" w:sz="4" w:space="0" w:color="auto"/>
          </w:tcBorders>
          <w:vAlign w:val="center"/>
        </w:tcPr>
        <w:p w:rsidR="00D967AE" w:rsidRPr="00485037" w:rsidRDefault="00D967AE" w:rsidP="003D215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97" w:type="dxa"/>
          <w:tcBorders>
            <w:bottom w:val="single" w:sz="4" w:space="0" w:color="auto"/>
          </w:tcBorders>
        </w:tcPr>
        <w:p w:rsidR="00D967AE" w:rsidRPr="00485037" w:rsidRDefault="00D967AE" w:rsidP="003D2156">
          <w:pPr>
            <w:pStyle w:val="Header"/>
            <w:bidi w:val="0"/>
            <w:rPr>
              <w:rFonts w:ascii="Cambria" w:hAnsi="Cambria"/>
              <w:b/>
              <w:bCs/>
            </w:rPr>
          </w:pPr>
        </w:p>
      </w:tc>
      <w:tc>
        <w:tcPr>
          <w:tcW w:w="1523" w:type="dxa"/>
          <w:tcBorders>
            <w:bottom w:val="single" w:sz="4" w:space="0" w:color="auto"/>
          </w:tcBorders>
        </w:tcPr>
        <w:p w:rsidR="00D967AE" w:rsidRPr="00485037" w:rsidRDefault="00D967AE" w:rsidP="003D215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C856EA">
            <w:rPr>
              <w:rFonts w:ascii="Cambria" w:hAnsi="Cambria"/>
              <w:b/>
              <w:bCs/>
              <w:noProof/>
              <w:u w:val="single"/>
            </w:rPr>
            <w:t>2</w:t>
          </w:r>
          <w:r w:rsidRPr="00485037">
            <w:rPr>
              <w:rFonts w:ascii="Cambria" w:hAnsi="Cambria"/>
              <w:b/>
              <w:bCs/>
              <w:u w:val="single"/>
            </w:rPr>
            <w:fldChar w:fldCharType="end"/>
          </w:r>
        </w:p>
        <w:p w:rsidR="00D967AE" w:rsidRPr="00485037" w:rsidRDefault="00D967AE" w:rsidP="003D215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C856EA">
            <w:rPr>
              <w:rFonts w:ascii="Cambria" w:hAnsi="Cambria"/>
              <w:noProof/>
            </w:rPr>
            <w:t>2</w:t>
          </w:r>
          <w:r w:rsidRPr="00485037">
            <w:rPr>
              <w:rFonts w:ascii="Cambria" w:hAnsi="Cambria"/>
            </w:rPr>
            <w:fldChar w:fldCharType="end"/>
          </w:r>
        </w:p>
      </w:tc>
      <w:tc>
        <w:tcPr>
          <w:tcW w:w="2016" w:type="dxa"/>
          <w:tcBorders>
            <w:bottom w:val="single" w:sz="4" w:space="0" w:color="auto"/>
          </w:tcBorders>
        </w:tcPr>
        <w:p w:rsidR="00D967AE" w:rsidRPr="00485037" w:rsidRDefault="00D967AE" w:rsidP="003D2156">
          <w:pPr>
            <w:pStyle w:val="Header"/>
            <w:bidi w:val="0"/>
            <w:jc w:val="center"/>
            <w:rPr>
              <w:rFonts w:ascii="Cambria" w:hAnsi="Cambria"/>
              <w:b/>
              <w:bCs/>
            </w:rPr>
          </w:pPr>
          <w:r w:rsidRPr="00485037">
            <w:rPr>
              <w:rFonts w:ascii="Cambria" w:hAnsi="Cambria"/>
              <w:b/>
              <w:bCs/>
              <w:u w:val="single"/>
            </w:rPr>
            <w:t>Date published</w:t>
          </w:r>
        </w:p>
        <w:p w:rsidR="00D967AE" w:rsidRPr="00485037" w:rsidRDefault="00D967AE" w:rsidP="003D2156">
          <w:pPr>
            <w:pStyle w:val="Header"/>
            <w:bidi w:val="0"/>
            <w:jc w:val="center"/>
            <w:rPr>
              <w:rFonts w:ascii="Cambria" w:hAnsi="Cambria"/>
            </w:rPr>
          </w:pPr>
        </w:p>
      </w:tc>
      <w:tc>
        <w:tcPr>
          <w:tcW w:w="1836" w:type="dxa"/>
          <w:tcBorders>
            <w:bottom w:val="single" w:sz="4" w:space="0" w:color="auto"/>
          </w:tcBorders>
        </w:tcPr>
        <w:p w:rsidR="00D967AE" w:rsidRPr="00485037" w:rsidRDefault="00D967AE" w:rsidP="003D2156">
          <w:pPr>
            <w:pStyle w:val="Header"/>
            <w:bidi w:val="0"/>
            <w:jc w:val="center"/>
            <w:rPr>
              <w:rFonts w:ascii="Cambria" w:hAnsi="Cambria"/>
              <w:b/>
              <w:bCs/>
            </w:rPr>
          </w:pPr>
          <w:r w:rsidRPr="00485037">
            <w:rPr>
              <w:rFonts w:ascii="Cambria" w:hAnsi="Cambria"/>
              <w:b/>
              <w:bCs/>
              <w:u w:val="single"/>
            </w:rPr>
            <w:t>Directive No.</w:t>
          </w:r>
        </w:p>
        <w:p w:rsidR="00D967AE" w:rsidRPr="00485037" w:rsidRDefault="00D967AE" w:rsidP="00BA4B94">
          <w:pPr>
            <w:pStyle w:val="Header"/>
            <w:bidi w:val="0"/>
            <w:jc w:val="center"/>
            <w:rPr>
              <w:rFonts w:ascii="Cambria" w:hAnsi="Cambria"/>
            </w:rPr>
          </w:pPr>
          <w:r w:rsidRPr="00485037">
            <w:rPr>
              <w:rFonts w:ascii="Cambria" w:hAnsi="Cambria"/>
            </w:rPr>
            <w:t>07-3</w:t>
          </w:r>
          <w:r>
            <w:rPr>
              <w:rFonts w:ascii="Cambria" w:hAnsi="Cambria"/>
            </w:rPr>
            <w:t>0</w:t>
          </w:r>
          <w:r w:rsidR="00BA4B94">
            <w:rPr>
              <w:rFonts w:ascii="Cambria" w:hAnsi="Cambria"/>
            </w:rPr>
            <w:t>6</w:t>
          </w:r>
        </w:p>
      </w:tc>
    </w:tr>
    <w:tr w:rsidR="00D967AE" w:rsidRPr="00485037" w:rsidTr="003D2156">
      <w:trPr>
        <w:jc w:val="center"/>
      </w:trPr>
      <w:tc>
        <w:tcPr>
          <w:tcW w:w="9628" w:type="dxa"/>
          <w:gridSpan w:val="5"/>
          <w:tcBorders>
            <w:top w:val="single" w:sz="4" w:space="0" w:color="auto"/>
            <w:bottom w:val="single" w:sz="4" w:space="0" w:color="auto"/>
          </w:tcBorders>
        </w:tcPr>
        <w:p w:rsidR="00D967AE" w:rsidRPr="00485037" w:rsidRDefault="00D967AE" w:rsidP="003D2156">
          <w:pPr>
            <w:pStyle w:val="Header"/>
            <w:tabs>
              <w:tab w:val="clear" w:pos="4153"/>
              <w:tab w:val="right" w:pos="570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sz w:val="26"/>
              <w:szCs w:val="26"/>
            </w:rPr>
            <w:t>University Safety</w:t>
          </w:r>
        </w:p>
      </w:tc>
    </w:tr>
  </w:tbl>
  <w:p w:rsidR="00D967AE" w:rsidRDefault="00D967AE" w:rsidP="00D967AE">
    <w:pPr>
      <w:pStyle w:val="Header"/>
      <w:bidi w:val="0"/>
    </w:pPr>
  </w:p>
  <w:p w:rsidR="00D967AE" w:rsidRDefault="00D96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AE"/>
    <w:rsid w:val="00002266"/>
    <w:rsid w:val="000242F9"/>
    <w:rsid w:val="00031F2A"/>
    <w:rsid w:val="00053582"/>
    <w:rsid w:val="000811AD"/>
    <w:rsid w:val="00087749"/>
    <w:rsid w:val="000947F9"/>
    <w:rsid w:val="000C0340"/>
    <w:rsid w:val="00160BC1"/>
    <w:rsid w:val="00171172"/>
    <w:rsid w:val="001D1D69"/>
    <w:rsid w:val="00270223"/>
    <w:rsid w:val="003207FA"/>
    <w:rsid w:val="00352F5B"/>
    <w:rsid w:val="003C2FAF"/>
    <w:rsid w:val="003D5AAD"/>
    <w:rsid w:val="00427983"/>
    <w:rsid w:val="00455968"/>
    <w:rsid w:val="004B6D05"/>
    <w:rsid w:val="00560348"/>
    <w:rsid w:val="005A1985"/>
    <w:rsid w:val="00613418"/>
    <w:rsid w:val="00625CCF"/>
    <w:rsid w:val="006278F6"/>
    <w:rsid w:val="0066692E"/>
    <w:rsid w:val="00685EC9"/>
    <w:rsid w:val="0073061C"/>
    <w:rsid w:val="00800334"/>
    <w:rsid w:val="008568E1"/>
    <w:rsid w:val="00866790"/>
    <w:rsid w:val="009A33C3"/>
    <w:rsid w:val="009F4521"/>
    <w:rsid w:val="00B1504C"/>
    <w:rsid w:val="00B56D04"/>
    <w:rsid w:val="00B61B29"/>
    <w:rsid w:val="00BA4B94"/>
    <w:rsid w:val="00BE2680"/>
    <w:rsid w:val="00C17F33"/>
    <w:rsid w:val="00C223C3"/>
    <w:rsid w:val="00C856EA"/>
    <w:rsid w:val="00C91BDD"/>
    <w:rsid w:val="00CC30FB"/>
    <w:rsid w:val="00D04052"/>
    <w:rsid w:val="00D430C8"/>
    <w:rsid w:val="00D967AE"/>
    <w:rsid w:val="00DA6D75"/>
    <w:rsid w:val="00E16CF3"/>
    <w:rsid w:val="00E315A6"/>
    <w:rsid w:val="00ED0721"/>
    <w:rsid w:val="00FD67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Bidi"/>
        <w:sz w:val="24"/>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AE"/>
    <w:pPr>
      <w:bidi/>
      <w:spacing w:after="0" w:line="240" w:lineRule="auto"/>
    </w:pPr>
    <w:rPr>
      <w:rFonts w:ascii="Times New Roman" w:hAnsi="Times New Roman" w:cs="David"/>
      <w:szCs w:val="24"/>
      <w:lang w:eastAsia="he-IL"/>
    </w:rPr>
  </w:style>
  <w:style w:type="paragraph" w:styleId="Heading1">
    <w:name w:val="heading 1"/>
    <w:basedOn w:val="Normal"/>
    <w:next w:val="Normal"/>
    <w:link w:val="Heading1Char"/>
    <w:uiPriority w:val="9"/>
    <w:qFormat/>
    <w:rsid w:val="00C91BDD"/>
    <w:pPr>
      <w:keepNext/>
      <w:tabs>
        <w:tab w:val="left" w:pos="1843"/>
      </w:tabs>
      <w:bidi w:val="0"/>
      <w:spacing w:after="120" w:line="276" w:lineRule="auto"/>
      <w:ind w:left="1843" w:hanging="1843"/>
      <w:jc w:val="both"/>
      <w:outlineLvl w:val="0"/>
    </w:pPr>
    <w:rPr>
      <w:rFonts w:ascii="Cambria" w:hAnsi="Cambria"/>
      <w:szCs w:val="26"/>
      <w:u w:val="single"/>
    </w:rPr>
  </w:style>
  <w:style w:type="paragraph" w:styleId="Heading3">
    <w:name w:val="heading 3"/>
    <w:basedOn w:val="Normal"/>
    <w:link w:val="Heading3Char"/>
    <w:uiPriority w:val="9"/>
    <w:qFormat/>
    <w:rsid w:val="0073061C"/>
    <w:pPr>
      <w:bidi w:val="0"/>
      <w:spacing w:before="100" w:beforeAutospacing="1" w:after="100" w:afterAutospacing="1"/>
      <w:outlineLvl w:val="2"/>
    </w:pPr>
    <w:rPr>
      <w:rFonts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67AE"/>
    <w:pPr>
      <w:tabs>
        <w:tab w:val="center" w:pos="4153"/>
        <w:tab w:val="right" w:pos="8306"/>
      </w:tabs>
    </w:pPr>
    <w:rPr>
      <w:szCs w:val="22"/>
    </w:rPr>
  </w:style>
  <w:style w:type="character" w:customStyle="1" w:styleId="HeaderChar">
    <w:name w:val="Header Char"/>
    <w:basedOn w:val="DefaultParagraphFont"/>
    <w:link w:val="Header"/>
    <w:uiPriority w:val="99"/>
    <w:rsid w:val="00D967AE"/>
    <w:rPr>
      <w:rFonts w:ascii="Times New Roman" w:hAnsi="Times New Roman" w:cs="David"/>
      <w:lang w:eastAsia="he-IL"/>
    </w:rPr>
  </w:style>
  <w:style w:type="table" w:styleId="TableGrid">
    <w:name w:val="Table Grid"/>
    <w:basedOn w:val="TableNormal"/>
    <w:uiPriority w:val="39"/>
    <w:rsid w:val="00D967AE"/>
    <w:pPr>
      <w:spacing w:after="0" w:line="240" w:lineRule="auto"/>
    </w:pPr>
    <w:rPr>
      <w:rFonts w:ascii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967AE"/>
    <w:pPr>
      <w:tabs>
        <w:tab w:val="center" w:pos="4680"/>
        <w:tab w:val="right" w:pos="9360"/>
      </w:tabs>
    </w:pPr>
  </w:style>
  <w:style w:type="character" w:customStyle="1" w:styleId="FooterChar">
    <w:name w:val="Footer Char"/>
    <w:basedOn w:val="DefaultParagraphFont"/>
    <w:link w:val="Footer"/>
    <w:uiPriority w:val="99"/>
    <w:rsid w:val="00D967AE"/>
    <w:rPr>
      <w:rFonts w:ascii="Times New Roman" w:hAnsi="Times New Roman" w:cs="David"/>
      <w:szCs w:val="24"/>
      <w:lang w:eastAsia="he-IL"/>
    </w:rPr>
  </w:style>
  <w:style w:type="character" w:customStyle="1" w:styleId="Heading3Char">
    <w:name w:val="Heading 3 Char"/>
    <w:basedOn w:val="DefaultParagraphFont"/>
    <w:link w:val="Heading3"/>
    <w:uiPriority w:val="9"/>
    <w:rsid w:val="0073061C"/>
    <w:rPr>
      <w:rFonts w:ascii="Times New Roman" w:hAnsi="Times New Roman" w:cs="Times New Roman"/>
      <w:b/>
      <w:bCs/>
      <w:sz w:val="27"/>
      <w:szCs w:val="27"/>
    </w:rPr>
  </w:style>
  <w:style w:type="character" w:styleId="Hyperlink">
    <w:name w:val="Hyperlink"/>
    <w:basedOn w:val="DefaultParagraphFont"/>
    <w:uiPriority w:val="99"/>
    <w:semiHidden/>
    <w:unhideWhenUsed/>
    <w:rsid w:val="0073061C"/>
    <w:rPr>
      <w:color w:val="0000FF"/>
      <w:u w:val="single"/>
    </w:rPr>
  </w:style>
  <w:style w:type="character" w:customStyle="1" w:styleId="Heading1Char">
    <w:name w:val="Heading 1 Char"/>
    <w:basedOn w:val="DefaultParagraphFont"/>
    <w:link w:val="Heading1"/>
    <w:uiPriority w:val="9"/>
    <w:rsid w:val="00C91BDD"/>
    <w:rPr>
      <w:rFonts w:cs="David"/>
      <w:szCs w:val="26"/>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Bidi"/>
        <w:sz w:val="24"/>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AE"/>
    <w:pPr>
      <w:bidi/>
      <w:spacing w:after="0" w:line="240" w:lineRule="auto"/>
    </w:pPr>
    <w:rPr>
      <w:rFonts w:ascii="Times New Roman" w:hAnsi="Times New Roman" w:cs="David"/>
      <w:szCs w:val="24"/>
      <w:lang w:eastAsia="he-IL"/>
    </w:rPr>
  </w:style>
  <w:style w:type="paragraph" w:styleId="Heading1">
    <w:name w:val="heading 1"/>
    <w:basedOn w:val="Normal"/>
    <w:next w:val="Normal"/>
    <w:link w:val="Heading1Char"/>
    <w:uiPriority w:val="9"/>
    <w:qFormat/>
    <w:rsid w:val="00C91BDD"/>
    <w:pPr>
      <w:keepNext/>
      <w:tabs>
        <w:tab w:val="left" w:pos="1843"/>
      </w:tabs>
      <w:bidi w:val="0"/>
      <w:spacing w:after="120" w:line="276" w:lineRule="auto"/>
      <w:ind w:left="1843" w:hanging="1843"/>
      <w:jc w:val="both"/>
      <w:outlineLvl w:val="0"/>
    </w:pPr>
    <w:rPr>
      <w:rFonts w:ascii="Cambria" w:hAnsi="Cambria"/>
      <w:szCs w:val="26"/>
      <w:u w:val="single"/>
    </w:rPr>
  </w:style>
  <w:style w:type="paragraph" w:styleId="Heading3">
    <w:name w:val="heading 3"/>
    <w:basedOn w:val="Normal"/>
    <w:link w:val="Heading3Char"/>
    <w:uiPriority w:val="9"/>
    <w:qFormat/>
    <w:rsid w:val="0073061C"/>
    <w:pPr>
      <w:bidi w:val="0"/>
      <w:spacing w:before="100" w:beforeAutospacing="1" w:after="100" w:afterAutospacing="1"/>
      <w:outlineLvl w:val="2"/>
    </w:pPr>
    <w:rPr>
      <w:rFonts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67AE"/>
    <w:pPr>
      <w:tabs>
        <w:tab w:val="center" w:pos="4153"/>
        <w:tab w:val="right" w:pos="8306"/>
      </w:tabs>
    </w:pPr>
    <w:rPr>
      <w:szCs w:val="22"/>
    </w:rPr>
  </w:style>
  <w:style w:type="character" w:customStyle="1" w:styleId="HeaderChar">
    <w:name w:val="Header Char"/>
    <w:basedOn w:val="DefaultParagraphFont"/>
    <w:link w:val="Header"/>
    <w:uiPriority w:val="99"/>
    <w:rsid w:val="00D967AE"/>
    <w:rPr>
      <w:rFonts w:ascii="Times New Roman" w:hAnsi="Times New Roman" w:cs="David"/>
      <w:lang w:eastAsia="he-IL"/>
    </w:rPr>
  </w:style>
  <w:style w:type="table" w:styleId="TableGrid">
    <w:name w:val="Table Grid"/>
    <w:basedOn w:val="TableNormal"/>
    <w:uiPriority w:val="39"/>
    <w:rsid w:val="00D967AE"/>
    <w:pPr>
      <w:spacing w:after="0" w:line="240" w:lineRule="auto"/>
    </w:pPr>
    <w:rPr>
      <w:rFonts w:ascii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967AE"/>
    <w:pPr>
      <w:tabs>
        <w:tab w:val="center" w:pos="4680"/>
        <w:tab w:val="right" w:pos="9360"/>
      </w:tabs>
    </w:pPr>
  </w:style>
  <w:style w:type="character" w:customStyle="1" w:styleId="FooterChar">
    <w:name w:val="Footer Char"/>
    <w:basedOn w:val="DefaultParagraphFont"/>
    <w:link w:val="Footer"/>
    <w:uiPriority w:val="99"/>
    <w:rsid w:val="00D967AE"/>
    <w:rPr>
      <w:rFonts w:ascii="Times New Roman" w:hAnsi="Times New Roman" w:cs="David"/>
      <w:szCs w:val="24"/>
      <w:lang w:eastAsia="he-IL"/>
    </w:rPr>
  </w:style>
  <w:style w:type="character" w:customStyle="1" w:styleId="Heading3Char">
    <w:name w:val="Heading 3 Char"/>
    <w:basedOn w:val="DefaultParagraphFont"/>
    <w:link w:val="Heading3"/>
    <w:uiPriority w:val="9"/>
    <w:rsid w:val="0073061C"/>
    <w:rPr>
      <w:rFonts w:ascii="Times New Roman" w:hAnsi="Times New Roman" w:cs="Times New Roman"/>
      <w:b/>
      <w:bCs/>
      <w:sz w:val="27"/>
      <w:szCs w:val="27"/>
    </w:rPr>
  </w:style>
  <w:style w:type="character" w:styleId="Hyperlink">
    <w:name w:val="Hyperlink"/>
    <w:basedOn w:val="DefaultParagraphFont"/>
    <w:uiPriority w:val="99"/>
    <w:semiHidden/>
    <w:unhideWhenUsed/>
    <w:rsid w:val="0073061C"/>
    <w:rPr>
      <w:color w:val="0000FF"/>
      <w:u w:val="single"/>
    </w:rPr>
  </w:style>
  <w:style w:type="character" w:customStyle="1" w:styleId="Heading1Char">
    <w:name w:val="Heading 1 Char"/>
    <w:basedOn w:val="DefaultParagraphFont"/>
    <w:link w:val="Heading1"/>
    <w:uiPriority w:val="9"/>
    <w:rsid w:val="00C91BDD"/>
    <w:rPr>
      <w:rFonts w:cs="David"/>
      <w:szCs w:val="26"/>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Sagir</dc:creator>
  <cp:lastModifiedBy>Michele Sagir</cp:lastModifiedBy>
  <cp:revision>10</cp:revision>
  <dcterms:created xsi:type="dcterms:W3CDTF">2020-12-08T10:20:00Z</dcterms:created>
  <dcterms:modified xsi:type="dcterms:W3CDTF">2020-12-08T11:20:00Z</dcterms:modified>
</cp:coreProperties>
</file>