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566"/>
        <w:gridCol w:w="7220"/>
      </w:tblGrid>
      <w:tr w:rsidR="00BA2148" w:rsidTr="00A77136">
        <w:tc>
          <w:tcPr>
            <w:tcW w:w="1560" w:type="dxa"/>
          </w:tcPr>
          <w:p w:rsidR="00BA2148" w:rsidRDefault="00BA2148" w:rsidP="00A77136">
            <w:pPr>
              <w:pStyle w:val="Header"/>
              <w:tabs>
                <w:tab w:val="clear" w:pos="4680"/>
                <w:tab w:val="clear" w:pos="9360"/>
                <w:tab w:val="left" w:pos="1701"/>
              </w:tabs>
              <w:spacing w:after="120" w:line="276" w:lineRule="auto"/>
              <w:rPr>
                <w:rFonts w:asciiTheme="majorHAnsi" w:hAnsiTheme="majorHAnsi"/>
              </w:rPr>
            </w:pPr>
            <w:r>
              <w:rPr>
                <w:rFonts w:asciiTheme="majorHAnsi" w:hAnsiTheme="majorHAnsi"/>
              </w:rPr>
              <w:t>General</w:t>
            </w:r>
          </w:p>
        </w:tc>
        <w:tc>
          <w:tcPr>
            <w:tcW w:w="567" w:type="dxa"/>
          </w:tcPr>
          <w:p w:rsidR="00BA2148" w:rsidRDefault="00BA2148" w:rsidP="00A77136">
            <w:pPr>
              <w:pStyle w:val="Header"/>
              <w:tabs>
                <w:tab w:val="clear" w:pos="4680"/>
                <w:tab w:val="clear" w:pos="9360"/>
                <w:tab w:val="left" w:pos="1701"/>
              </w:tabs>
              <w:spacing w:after="120" w:line="276" w:lineRule="auto"/>
              <w:rPr>
                <w:rFonts w:asciiTheme="majorHAnsi" w:hAnsiTheme="majorHAnsi"/>
              </w:rPr>
            </w:pPr>
            <w:r>
              <w:rPr>
                <w:rFonts w:asciiTheme="majorHAnsi" w:hAnsiTheme="majorHAnsi"/>
              </w:rPr>
              <w:t>1.</w:t>
            </w:r>
          </w:p>
        </w:tc>
        <w:tc>
          <w:tcPr>
            <w:tcW w:w="7341" w:type="dxa"/>
          </w:tcPr>
          <w:p w:rsidR="00BA2148" w:rsidRDefault="00255D2C" w:rsidP="00A77136">
            <w:pPr>
              <w:pStyle w:val="Header"/>
              <w:tabs>
                <w:tab w:val="clear" w:pos="4680"/>
                <w:tab w:val="clear" w:pos="9360"/>
                <w:tab w:val="left" w:pos="1701"/>
              </w:tabs>
              <w:spacing w:after="120" w:line="276" w:lineRule="auto"/>
              <w:rPr>
                <w:rFonts w:asciiTheme="majorHAnsi" w:hAnsiTheme="majorHAnsi"/>
              </w:rPr>
            </w:pPr>
            <w:r>
              <w:rPr>
                <w:rFonts w:asciiTheme="majorHAnsi" w:hAnsiTheme="majorHAnsi"/>
              </w:rPr>
              <w:t xml:space="preserve">“Toxins” constitute all of the substances (287 in number) that are included </w:t>
            </w:r>
            <w:r w:rsidRPr="00600546">
              <w:rPr>
                <w:rFonts w:asciiTheme="majorHAnsi" w:hAnsiTheme="majorHAnsi"/>
                <w:sz w:val="24"/>
                <w:szCs w:val="24"/>
              </w:rPr>
              <w:t xml:space="preserve">in the Pharmacists Ordinance Law 5720 of August 12, 1960, those that were added to the list at a later </w:t>
            </w:r>
            <w:r w:rsidR="00600546" w:rsidRPr="00600546">
              <w:rPr>
                <w:rFonts w:asciiTheme="majorHAnsi" w:hAnsiTheme="majorHAnsi"/>
                <w:sz w:val="24"/>
                <w:szCs w:val="24"/>
              </w:rPr>
              <w:t>date</w:t>
            </w:r>
            <w:r w:rsidR="005E3109">
              <w:rPr>
                <w:rFonts w:asciiTheme="majorHAnsi" w:hAnsiTheme="majorHAnsi"/>
                <w:sz w:val="24"/>
                <w:szCs w:val="24"/>
              </w:rPr>
              <w:t>,</w:t>
            </w:r>
            <w:r w:rsidR="00600546" w:rsidRPr="00600546">
              <w:rPr>
                <w:rFonts w:asciiTheme="majorHAnsi" w:hAnsiTheme="majorHAnsi"/>
                <w:sz w:val="24"/>
                <w:szCs w:val="24"/>
              </w:rPr>
              <w:t xml:space="preserve"> and other toxic </w:t>
            </w:r>
            <w:r w:rsidRPr="00600546">
              <w:rPr>
                <w:rFonts w:asciiTheme="majorHAnsi" w:hAnsiTheme="majorHAnsi"/>
                <w:sz w:val="24"/>
                <w:szCs w:val="24"/>
              </w:rPr>
              <w:t xml:space="preserve">  </w:t>
            </w:r>
            <w:r w:rsidR="00600546" w:rsidRPr="00600546">
              <w:rPr>
                <w:rFonts w:asciiTheme="majorHAnsi" w:hAnsiTheme="majorHAnsi"/>
                <w:sz w:val="24"/>
                <w:szCs w:val="24"/>
              </w:rPr>
              <w:t>substances that were not added to the list of industrial toxins as above but are poisons in the accepted sense of the word according to the final ruling of the Toxins Commissioner of Tel Aviv University.</w:t>
            </w:r>
          </w:p>
        </w:tc>
      </w:tr>
      <w:tr w:rsidR="00BA2148" w:rsidTr="00A77136">
        <w:tc>
          <w:tcPr>
            <w:tcW w:w="1560" w:type="dxa"/>
          </w:tcPr>
          <w:p w:rsidR="00BA2148" w:rsidRDefault="00BA2148" w:rsidP="00A77136">
            <w:pPr>
              <w:pStyle w:val="Header"/>
              <w:tabs>
                <w:tab w:val="clear" w:pos="4680"/>
                <w:tab w:val="clear" w:pos="9360"/>
                <w:tab w:val="left" w:pos="1701"/>
              </w:tabs>
              <w:spacing w:after="120" w:line="276" w:lineRule="auto"/>
              <w:rPr>
                <w:rFonts w:asciiTheme="majorHAnsi" w:hAnsiTheme="majorHAnsi"/>
              </w:rPr>
            </w:pPr>
          </w:p>
        </w:tc>
        <w:tc>
          <w:tcPr>
            <w:tcW w:w="567" w:type="dxa"/>
          </w:tcPr>
          <w:p w:rsidR="00BA2148" w:rsidRPr="00076302" w:rsidRDefault="00076302" w:rsidP="00A77136">
            <w:pPr>
              <w:pStyle w:val="Header"/>
              <w:tabs>
                <w:tab w:val="clear" w:pos="4680"/>
                <w:tab w:val="clear" w:pos="9360"/>
                <w:tab w:val="left" w:pos="1701"/>
              </w:tabs>
              <w:spacing w:after="120" w:line="276" w:lineRule="auto"/>
              <w:rPr>
                <w:rFonts w:asciiTheme="majorHAnsi" w:hAnsiTheme="majorHAnsi"/>
                <w:sz w:val="24"/>
                <w:szCs w:val="24"/>
              </w:rPr>
            </w:pPr>
            <w:r w:rsidRPr="00076302">
              <w:rPr>
                <w:rFonts w:asciiTheme="majorHAnsi" w:hAnsiTheme="majorHAnsi"/>
                <w:sz w:val="24"/>
                <w:szCs w:val="24"/>
              </w:rPr>
              <w:t>2.</w:t>
            </w:r>
          </w:p>
        </w:tc>
        <w:tc>
          <w:tcPr>
            <w:tcW w:w="7341" w:type="dxa"/>
          </w:tcPr>
          <w:p w:rsidR="00BA2148" w:rsidRPr="00076302" w:rsidRDefault="00076302" w:rsidP="005E3109">
            <w:pPr>
              <w:pStyle w:val="Header"/>
              <w:tabs>
                <w:tab w:val="clear" w:pos="4680"/>
                <w:tab w:val="clear" w:pos="9360"/>
                <w:tab w:val="left" w:pos="1701"/>
              </w:tabs>
              <w:spacing w:after="120" w:line="276" w:lineRule="auto"/>
              <w:rPr>
                <w:rFonts w:asciiTheme="majorHAnsi" w:hAnsiTheme="majorHAnsi"/>
                <w:sz w:val="24"/>
                <w:szCs w:val="24"/>
              </w:rPr>
            </w:pPr>
            <w:r w:rsidRPr="00076302">
              <w:rPr>
                <w:rFonts w:asciiTheme="majorHAnsi" w:hAnsiTheme="majorHAnsi"/>
                <w:sz w:val="24"/>
                <w:szCs w:val="24"/>
              </w:rPr>
              <w:t>The Deputy CEO will appoint annually an employee to the position of “Toxins Commissioner” or will authorize the existing appointment. The person filling this position</w:t>
            </w:r>
            <w:r>
              <w:rPr>
                <w:rFonts w:asciiTheme="majorHAnsi" w:hAnsiTheme="majorHAnsi"/>
                <w:sz w:val="24"/>
                <w:szCs w:val="24"/>
              </w:rPr>
              <w:t xml:space="preserve"> will continue until another employee is appointed. This appointment is subject to the authorization of the district pharmacist (Ministry of Health).</w:t>
            </w:r>
          </w:p>
        </w:tc>
      </w:tr>
      <w:tr w:rsidR="00BA2148" w:rsidTr="00A77136">
        <w:tc>
          <w:tcPr>
            <w:tcW w:w="1560" w:type="dxa"/>
          </w:tcPr>
          <w:p w:rsidR="00BA2148" w:rsidRPr="00076302" w:rsidRDefault="00BA2148" w:rsidP="00A77136">
            <w:pPr>
              <w:pStyle w:val="Header"/>
              <w:tabs>
                <w:tab w:val="clear" w:pos="4680"/>
                <w:tab w:val="clear" w:pos="9360"/>
                <w:tab w:val="left" w:pos="1701"/>
              </w:tabs>
              <w:spacing w:after="120" w:line="276" w:lineRule="auto"/>
              <w:rPr>
                <w:rFonts w:asciiTheme="majorHAnsi" w:hAnsiTheme="majorHAnsi"/>
                <w:sz w:val="24"/>
                <w:szCs w:val="24"/>
              </w:rPr>
            </w:pPr>
          </w:p>
        </w:tc>
        <w:tc>
          <w:tcPr>
            <w:tcW w:w="567" w:type="dxa"/>
          </w:tcPr>
          <w:p w:rsidR="00BA2148" w:rsidRPr="00076302" w:rsidRDefault="00076302"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3.</w:t>
            </w:r>
          </w:p>
        </w:tc>
        <w:tc>
          <w:tcPr>
            <w:tcW w:w="7341" w:type="dxa"/>
          </w:tcPr>
          <w:p w:rsidR="00BA2148" w:rsidRPr="00076302" w:rsidRDefault="00076302"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 xml:space="preserve">The TAU Toxins Commissioner is responsible for supervising all use of toxins in the University’s departments. His/her tasks and areas of responsibility are defined in safety procedure </w:t>
            </w:r>
            <w:r w:rsidR="003575C6">
              <w:rPr>
                <w:rFonts w:asciiTheme="majorHAnsi" w:hAnsiTheme="majorHAnsi"/>
                <w:sz w:val="24"/>
                <w:szCs w:val="24"/>
              </w:rPr>
              <w:t>07-302 (section 4).</w:t>
            </w:r>
          </w:p>
        </w:tc>
      </w:tr>
      <w:tr w:rsidR="00BA2148" w:rsidTr="00A77136">
        <w:tc>
          <w:tcPr>
            <w:tcW w:w="1560" w:type="dxa"/>
          </w:tcPr>
          <w:p w:rsidR="00BA2148" w:rsidRPr="00076302" w:rsidRDefault="00BA2148" w:rsidP="00A77136">
            <w:pPr>
              <w:pStyle w:val="Header"/>
              <w:tabs>
                <w:tab w:val="clear" w:pos="4680"/>
                <w:tab w:val="clear" w:pos="9360"/>
                <w:tab w:val="left" w:pos="1701"/>
              </w:tabs>
              <w:spacing w:after="120" w:line="276" w:lineRule="auto"/>
              <w:rPr>
                <w:rFonts w:asciiTheme="majorHAnsi" w:hAnsiTheme="majorHAnsi"/>
                <w:sz w:val="24"/>
                <w:szCs w:val="24"/>
              </w:rPr>
            </w:pPr>
          </w:p>
        </w:tc>
        <w:tc>
          <w:tcPr>
            <w:tcW w:w="567" w:type="dxa"/>
          </w:tcPr>
          <w:p w:rsidR="00BA2148" w:rsidRPr="00076302" w:rsidRDefault="003575C6"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4.</w:t>
            </w:r>
          </w:p>
        </w:tc>
        <w:tc>
          <w:tcPr>
            <w:tcW w:w="7341" w:type="dxa"/>
          </w:tcPr>
          <w:p w:rsidR="00BA2148" w:rsidRPr="00076302" w:rsidRDefault="003575C6"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 xml:space="preserve">The person appointed as responsible for chemicals in the unit has responsibility for safe handling of toxins in the units (see appendix no. “Moving dangerous chemicals from storeroom to consumers”). </w:t>
            </w:r>
          </w:p>
        </w:tc>
      </w:tr>
      <w:tr w:rsidR="00BA2148" w:rsidTr="00A77136">
        <w:tc>
          <w:tcPr>
            <w:tcW w:w="1560" w:type="dxa"/>
          </w:tcPr>
          <w:p w:rsidR="00BA2148" w:rsidRPr="00076302" w:rsidRDefault="00BA2148" w:rsidP="00A77136">
            <w:pPr>
              <w:pStyle w:val="Header"/>
              <w:tabs>
                <w:tab w:val="clear" w:pos="4680"/>
                <w:tab w:val="clear" w:pos="9360"/>
                <w:tab w:val="left" w:pos="1701"/>
              </w:tabs>
              <w:spacing w:after="120" w:line="276" w:lineRule="auto"/>
              <w:rPr>
                <w:rFonts w:asciiTheme="majorHAnsi" w:hAnsiTheme="majorHAnsi"/>
                <w:sz w:val="24"/>
                <w:szCs w:val="24"/>
              </w:rPr>
            </w:pPr>
          </w:p>
        </w:tc>
        <w:tc>
          <w:tcPr>
            <w:tcW w:w="567" w:type="dxa"/>
          </w:tcPr>
          <w:p w:rsidR="00BA2148" w:rsidRPr="00076302" w:rsidRDefault="003575C6"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5.</w:t>
            </w:r>
          </w:p>
        </w:tc>
        <w:tc>
          <w:tcPr>
            <w:tcW w:w="7341" w:type="dxa"/>
          </w:tcPr>
          <w:p w:rsidR="00BA2148" w:rsidRDefault="00F56427"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If possible, toxins will be stored in separate areas (rooms, closets) that are locked and marked with identifying</w:t>
            </w:r>
            <w:r w:rsidR="00512131">
              <w:rPr>
                <w:rFonts w:asciiTheme="majorHAnsi" w:hAnsiTheme="majorHAnsi"/>
                <w:sz w:val="24"/>
                <w:szCs w:val="24"/>
              </w:rPr>
              <w:t xml:space="preserve"> labels.</w:t>
            </w:r>
          </w:p>
          <w:p w:rsidR="00512131" w:rsidRPr="00076302" w:rsidRDefault="00512131" w:rsidP="005E3109">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 xml:space="preserve">In the case of “mixed” storage, utmost efforts will be made to physically separate the location of the toxins storage and the storage of other substances. The location of toxins storage as above will be marked </w:t>
            </w:r>
            <w:r w:rsidR="00A90EA6">
              <w:rPr>
                <w:rFonts w:asciiTheme="majorHAnsi" w:hAnsiTheme="majorHAnsi"/>
                <w:sz w:val="24"/>
                <w:szCs w:val="24"/>
              </w:rPr>
              <w:t>with signs to avoid errors</w:t>
            </w:r>
            <w:r w:rsidR="005E3109">
              <w:rPr>
                <w:rFonts w:asciiTheme="majorHAnsi" w:hAnsiTheme="majorHAnsi"/>
                <w:sz w:val="24"/>
                <w:szCs w:val="24"/>
              </w:rPr>
              <w:t xml:space="preserve"> and</w:t>
            </w:r>
            <w:r w:rsidR="00A90EA6">
              <w:rPr>
                <w:rFonts w:asciiTheme="majorHAnsi" w:hAnsiTheme="majorHAnsi"/>
                <w:sz w:val="24"/>
                <w:szCs w:val="24"/>
              </w:rPr>
              <w:t xml:space="preserve"> encourage caution and readiness.</w:t>
            </w:r>
          </w:p>
        </w:tc>
      </w:tr>
      <w:tr w:rsidR="00BA2148" w:rsidTr="00A77136">
        <w:tc>
          <w:tcPr>
            <w:tcW w:w="1560" w:type="dxa"/>
          </w:tcPr>
          <w:p w:rsidR="00BA2148" w:rsidRPr="00076302" w:rsidRDefault="00A90EA6"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Safety directives</w:t>
            </w:r>
          </w:p>
        </w:tc>
        <w:tc>
          <w:tcPr>
            <w:tcW w:w="567" w:type="dxa"/>
          </w:tcPr>
          <w:p w:rsidR="00BA2148" w:rsidRPr="00076302" w:rsidRDefault="00A90EA6"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6.</w:t>
            </w:r>
          </w:p>
        </w:tc>
        <w:tc>
          <w:tcPr>
            <w:tcW w:w="7341" w:type="dxa"/>
          </w:tcPr>
          <w:p w:rsidR="00BA2148" w:rsidRPr="00076302" w:rsidRDefault="00A90EA6"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 xml:space="preserve">In any place where toxins are stored and used, it is essential to </w:t>
            </w:r>
            <w:r w:rsidR="009820EF">
              <w:rPr>
                <w:rFonts w:asciiTheme="majorHAnsi" w:hAnsiTheme="majorHAnsi"/>
                <w:sz w:val="24"/>
                <w:szCs w:val="24"/>
              </w:rPr>
              <w:t xml:space="preserve">organize procedures and </w:t>
            </w:r>
            <w:r w:rsidR="006D69AA">
              <w:rPr>
                <w:rFonts w:asciiTheme="majorHAnsi" w:hAnsiTheme="majorHAnsi"/>
                <w:sz w:val="24"/>
                <w:szCs w:val="24"/>
              </w:rPr>
              <w:t xml:space="preserve">proper </w:t>
            </w:r>
            <w:r w:rsidR="009820EF">
              <w:rPr>
                <w:rFonts w:asciiTheme="majorHAnsi" w:hAnsiTheme="majorHAnsi"/>
                <w:sz w:val="24"/>
                <w:szCs w:val="24"/>
              </w:rPr>
              <w:t>work practices to</w:t>
            </w:r>
            <w:r w:rsidR="006D69AA">
              <w:rPr>
                <w:rFonts w:asciiTheme="majorHAnsi" w:hAnsiTheme="majorHAnsi"/>
                <w:sz w:val="24"/>
                <w:szCs w:val="24"/>
              </w:rPr>
              <w:t xml:space="preserve"> </w:t>
            </w:r>
            <w:r w:rsidR="009820EF">
              <w:rPr>
                <w:rFonts w:asciiTheme="majorHAnsi" w:hAnsiTheme="majorHAnsi"/>
                <w:sz w:val="24"/>
                <w:szCs w:val="24"/>
              </w:rPr>
              <w:t xml:space="preserve">handle hazards (including transfer for external handling), to collect toxins that have been dispersed and purify polluted areas, all in consideration of the nature of the toxic substance. Collection of dispersed chemicals and purification of polluted areas will be handled solely by a </w:t>
            </w:r>
            <w:r w:rsidR="009820EF">
              <w:rPr>
                <w:rFonts w:asciiTheme="majorHAnsi" w:hAnsiTheme="majorHAnsi"/>
                <w:sz w:val="24"/>
                <w:szCs w:val="24"/>
              </w:rPr>
              <w:lastRenderedPageBreak/>
              <w:t>professional laboratory employee, immediately after the incident has occurred. If needed, the area will be fenced off and signs posted</w:t>
            </w:r>
            <w:r w:rsidR="006D69AA">
              <w:rPr>
                <w:rFonts w:asciiTheme="majorHAnsi" w:hAnsiTheme="majorHAnsi"/>
                <w:sz w:val="24"/>
                <w:szCs w:val="24"/>
              </w:rPr>
              <w:t>,</w:t>
            </w:r>
            <w:r w:rsidR="009820EF">
              <w:rPr>
                <w:rFonts w:asciiTheme="majorHAnsi" w:hAnsiTheme="majorHAnsi"/>
                <w:sz w:val="24"/>
                <w:szCs w:val="24"/>
              </w:rPr>
              <w:t xml:space="preserve"> or a “sentry” will be </w:t>
            </w:r>
            <w:r w:rsidR="006D69AA">
              <w:rPr>
                <w:rFonts w:asciiTheme="majorHAnsi" w:hAnsiTheme="majorHAnsi"/>
                <w:sz w:val="24"/>
                <w:szCs w:val="24"/>
              </w:rPr>
              <w:t>po</w:t>
            </w:r>
            <w:bookmarkStart w:id="0" w:name="_GoBack"/>
            <w:bookmarkEnd w:id="0"/>
            <w:r w:rsidR="006D69AA">
              <w:rPr>
                <w:rFonts w:asciiTheme="majorHAnsi" w:hAnsiTheme="majorHAnsi"/>
                <w:sz w:val="24"/>
                <w:szCs w:val="24"/>
              </w:rPr>
              <w:t>sted to prevent any hazard to those unaware of the situation.</w:t>
            </w:r>
          </w:p>
        </w:tc>
      </w:tr>
      <w:tr w:rsidR="00BA2148" w:rsidTr="00A77136">
        <w:tc>
          <w:tcPr>
            <w:tcW w:w="1560" w:type="dxa"/>
          </w:tcPr>
          <w:p w:rsidR="00BA2148" w:rsidRPr="00076302" w:rsidRDefault="00BA2148" w:rsidP="00A77136">
            <w:pPr>
              <w:pStyle w:val="Header"/>
              <w:tabs>
                <w:tab w:val="clear" w:pos="4680"/>
                <w:tab w:val="clear" w:pos="9360"/>
                <w:tab w:val="left" w:pos="1701"/>
              </w:tabs>
              <w:spacing w:after="120" w:line="276" w:lineRule="auto"/>
              <w:rPr>
                <w:rFonts w:asciiTheme="majorHAnsi" w:hAnsiTheme="majorHAnsi"/>
                <w:sz w:val="24"/>
                <w:szCs w:val="24"/>
              </w:rPr>
            </w:pPr>
          </w:p>
        </w:tc>
        <w:tc>
          <w:tcPr>
            <w:tcW w:w="567" w:type="dxa"/>
          </w:tcPr>
          <w:p w:rsidR="00BA2148" w:rsidRPr="00076302" w:rsidRDefault="006D69AA"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7.</w:t>
            </w:r>
          </w:p>
        </w:tc>
        <w:tc>
          <w:tcPr>
            <w:tcW w:w="7341" w:type="dxa"/>
          </w:tcPr>
          <w:p w:rsidR="00BA2148" w:rsidRPr="00076302" w:rsidRDefault="006D69AA"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 xml:space="preserve">The head of the unit/person in charge of the laboratory, or the sole investigator (who is not acting as part of the unit) will ensure that every area under his/her responsibility where toxins are handled is safe and properly ventilated.  </w:t>
            </w:r>
          </w:p>
        </w:tc>
      </w:tr>
      <w:tr w:rsidR="00BA2148" w:rsidTr="00A77136">
        <w:tc>
          <w:tcPr>
            <w:tcW w:w="1560" w:type="dxa"/>
          </w:tcPr>
          <w:p w:rsidR="00BA2148" w:rsidRPr="00076302" w:rsidRDefault="00BA2148" w:rsidP="00A77136">
            <w:pPr>
              <w:pStyle w:val="Header"/>
              <w:tabs>
                <w:tab w:val="clear" w:pos="4680"/>
                <w:tab w:val="clear" w:pos="9360"/>
                <w:tab w:val="left" w:pos="1701"/>
              </w:tabs>
              <w:spacing w:after="120" w:line="276" w:lineRule="auto"/>
              <w:rPr>
                <w:rFonts w:asciiTheme="majorHAnsi" w:hAnsiTheme="majorHAnsi"/>
                <w:sz w:val="24"/>
                <w:szCs w:val="24"/>
              </w:rPr>
            </w:pPr>
          </w:p>
        </w:tc>
        <w:tc>
          <w:tcPr>
            <w:tcW w:w="567" w:type="dxa"/>
          </w:tcPr>
          <w:p w:rsidR="00BA2148" w:rsidRPr="00076302" w:rsidRDefault="009D5035"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8.</w:t>
            </w:r>
          </w:p>
        </w:tc>
        <w:tc>
          <w:tcPr>
            <w:tcW w:w="7341" w:type="dxa"/>
          </w:tcPr>
          <w:p w:rsidR="00BA2148" w:rsidRPr="00076302" w:rsidRDefault="009D5035" w:rsidP="009032A4">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 xml:space="preserve">Work with particularly hazardous toxins (high toxicity, high volatility, etc.) requires the use of suitable </w:t>
            </w:r>
            <w:r w:rsidR="00FE2C28">
              <w:rPr>
                <w:rFonts w:asciiTheme="majorHAnsi" w:hAnsiTheme="majorHAnsi"/>
                <w:sz w:val="24"/>
                <w:szCs w:val="24"/>
              </w:rPr>
              <w:t xml:space="preserve">fume hoods and protective respiratory equipment (nose and mouth). If the toxins also have other risks (degrading, flammable, </w:t>
            </w:r>
            <w:r w:rsidR="009032A4">
              <w:rPr>
                <w:rFonts w:asciiTheme="majorHAnsi" w:hAnsiTheme="majorHAnsi"/>
                <w:sz w:val="24"/>
                <w:szCs w:val="24"/>
              </w:rPr>
              <w:t xml:space="preserve">sparks), </w:t>
            </w:r>
            <w:r w:rsidR="00FE2C28">
              <w:rPr>
                <w:rFonts w:asciiTheme="majorHAnsi" w:hAnsiTheme="majorHAnsi"/>
                <w:sz w:val="24"/>
                <w:szCs w:val="24"/>
              </w:rPr>
              <w:t>other suitable safety measures</w:t>
            </w:r>
            <w:r w:rsidR="009032A4">
              <w:rPr>
                <w:rFonts w:asciiTheme="majorHAnsi" w:hAnsiTheme="majorHAnsi"/>
                <w:sz w:val="24"/>
                <w:szCs w:val="24"/>
              </w:rPr>
              <w:t xml:space="preserve"> should be taken</w:t>
            </w:r>
            <w:r w:rsidR="00FE2C28">
              <w:rPr>
                <w:rFonts w:asciiTheme="majorHAnsi" w:hAnsiTheme="majorHAnsi"/>
                <w:sz w:val="24"/>
                <w:szCs w:val="24"/>
              </w:rPr>
              <w:t>.</w:t>
            </w:r>
          </w:p>
        </w:tc>
      </w:tr>
      <w:tr w:rsidR="00BA2148" w:rsidTr="00A77136">
        <w:tc>
          <w:tcPr>
            <w:tcW w:w="1560" w:type="dxa"/>
          </w:tcPr>
          <w:p w:rsidR="00BA2148" w:rsidRPr="00076302" w:rsidRDefault="00BA2148" w:rsidP="00A77136">
            <w:pPr>
              <w:pStyle w:val="Header"/>
              <w:tabs>
                <w:tab w:val="clear" w:pos="4680"/>
                <w:tab w:val="clear" w:pos="9360"/>
                <w:tab w:val="left" w:pos="1701"/>
              </w:tabs>
              <w:spacing w:after="120" w:line="276" w:lineRule="auto"/>
              <w:rPr>
                <w:rFonts w:asciiTheme="majorHAnsi" w:hAnsiTheme="majorHAnsi"/>
                <w:sz w:val="24"/>
                <w:szCs w:val="24"/>
              </w:rPr>
            </w:pPr>
          </w:p>
        </w:tc>
        <w:tc>
          <w:tcPr>
            <w:tcW w:w="567" w:type="dxa"/>
          </w:tcPr>
          <w:p w:rsidR="00BA2148" w:rsidRPr="00076302" w:rsidRDefault="00FE2C28"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9.</w:t>
            </w:r>
          </w:p>
        </w:tc>
        <w:tc>
          <w:tcPr>
            <w:tcW w:w="7341" w:type="dxa"/>
          </w:tcPr>
          <w:p w:rsidR="00BA2148" w:rsidRPr="00076302" w:rsidRDefault="00FE2C28"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Questions pertaining to the handling of toxins in irregular situation</w:t>
            </w:r>
            <w:r w:rsidR="009032A4">
              <w:rPr>
                <w:rFonts w:asciiTheme="majorHAnsi" w:hAnsiTheme="majorHAnsi"/>
                <w:sz w:val="24"/>
                <w:szCs w:val="24"/>
              </w:rPr>
              <w:t>s</w:t>
            </w:r>
            <w:r>
              <w:rPr>
                <w:rFonts w:asciiTheme="majorHAnsi" w:hAnsiTheme="majorHAnsi"/>
                <w:sz w:val="24"/>
                <w:szCs w:val="24"/>
              </w:rPr>
              <w:t xml:space="preserve"> must be referred to the Toxins Commissioner</w:t>
            </w:r>
            <w:r w:rsidR="00A77136">
              <w:rPr>
                <w:rFonts w:asciiTheme="majorHAnsi" w:hAnsiTheme="majorHAnsi"/>
                <w:sz w:val="24"/>
                <w:szCs w:val="24"/>
              </w:rPr>
              <w:t xml:space="preserve">, the TAU safety engineer, and the radioactive radiation inspector. In their absence, in an emergency, information is available with senior professional employees in the Faculty of Exact Sciences, Faculty of Life Sciences and the Faculty of Medicine. </w:t>
            </w:r>
          </w:p>
        </w:tc>
      </w:tr>
      <w:tr w:rsidR="00BA2148" w:rsidTr="00A77136">
        <w:tc>
          <w:tcPr>
            <w:tcW w:w="1560" w:type="dxa"/>
          </w:tcPr>
          <w:p w:rsidR="00BA2148" w:rsidRPr="00076302" w:rsidRDefault="00A77136"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 xml:space="preserve">Responsibility for performance </w:t>
            </w:r>
          </w:p>
        </w:tc>
        <w:tc>
          <w:tcPr>
            <w:tcW w:w="567" w:type="dxa"/>
          </w:tcPr>
          <w:p w:rsidR="00BA2148" w:rsidRPr="00076302" w:rsidRDefault="00A77136" w:rsidP="00A77136">
            <w:pPr>
              <w:pStyle w:val="Header"/>
              <w:tabs>
                <w:tab w:val="clear" w:pos="4680"/>
                <w:tab w:val="clear" w:pos="9360"/>
                <w:tab w:val="left" w:pos="1701"/>
              </w:tabs>
              <w:spacing w:after="120" w:line="276" w:lineRule="auto"/>
              <w:rPr>
                <w:rFonts w:asciiTheme="majorHAnsi" w:hAnsiTheme="majorHAnsi"/>
                <w:sz w:val="24"/>
                <w:szCs w:val="24"/>
              </w:rPr>
            </w:pPr>
            <w:r>
              <w:rPr>
                <w:rFonts w:asciiTheme="majorHAnsi" w:hAnsiTheme="majorHAnsi"/>
                <w:sz w:val="24"/>
                <w:szCs w:val="24"/>
              </w:rPr>
              <w:t>10.</w:t>
            </w:r>
          </w:p>
        </w:tc>
        <w:tc>
          <w:tcPr>
            <w:tcW w:w="7341" w:type="dxa"/>
          </w:tcPr>
          <w:p w:rsidR="00BA2148" w:rsidRPr="00076302" w:rsidRDefault="00A77136" w:rsidP="00A77136">
            <w:pPr>
              <w:pStyle w:val="Header"/>
              <w:tabs>
                <w:tab w:val="clear" w:pos="4680"/>
                <w:tab w:val="clear" w:pos="9360"/>
                <w:tab w:val="left" w:pos="1701"/>
              </w:tabs>
              <w:spacing w:after="120" w:line="276" w:lineRule="auto"/>
              <w:rPr>
                <w:rFonts w:asciiTheme="majorHAnsi" w:hAnsiTheme="majorHAnsi"/>
                <w:sz w:val="24"/>
                <w:szCs w:val="24"/>
              </w:rPr>
            </w:pPr>
            <w:r w:rsidRPr="00A77136">
              <w:rPr>
                <w:rFonts w:asciiTheme="majorHAnsi" w:hAnsiTheme="majorHAnsi"/>
                <w:sz w:val="24"/>
                <w:szCs w:val="24"/>
              </w:rPr>
              <w:t xml:space="preserve">Responsibility for </w:t>
            </w:r>
            <w:r>
              <w:rPr>
                <w:rFonts w:asciiTheme="majorHAnsi" w:hAnsiTheme="majorHAnsi"/>
                <w:sz w:val="24"/>
                <w:szCs w:val="24"/>
              </w:rPr>
              <w:t xml:space="preserve">supervising </w:t>
            </w:r>
            <w:r w:rsidRPr="00A77136">
              <w:rPr>
                <w:rFonts w:asciiTheme="majorHAnsi" w:hAnsiTheme="majorHAnsi"/>
                <w:sz w:val="24"/>
                <w:szCs w:val="24"/>
              </w:rPr>
              <w:t xml:space="preserve">performance of this directive </w:t>
            </w:r>
            <w:r>
              <w:rPr>
                <w:rFonts w:asciiTheme="majorHAnsi" w:hAnsiTheme="majorHAnsi"/>
                <w:sz w:val="24"/>
                <w:szCs w:val="24"/>
              </w:rPr>
              <w:t>– Toxins Commissioner.</w:t>
            </w:r>
          </w:p>
        </w:tc>
      </w:tr>
    </w:tbl>
    <w:p w:rsidR="00794854" w:rsidRPr="00794854" w:rsidRDefault="00794854" w:rsidP="00794854">
      <w:pPr>
        <w:pStyle w:val="Header"/>
        <w:tabs>
          <w:tab w:val="clear" w:pos="4680"/>
          <w:tab w:val="clear" w:pos="9360"/>
          <w:tab w:val="left" w:pos="2127"/>
        </w:tabs>
        <w:ind w:left="1440" w:hanging="1440"/>
        <w:rPr>
          <w:rFonts w:asciiTheme="majorHAnsi" w:hAnsiTheme="majorHAnsi"/>
        </w:rPr>
      </w:pPr>
    </w:p>
    <w:p w:rsidR="00C52A1F" w:rsidRPr="00C52A1F" w:rsidRDefault="00C52A1F">
      <w:pPr>
        <w:rPr>
          <w:rFonts w:asciiTheme="majorHAnsi" w:hAnsiTheme="majorHAnsi"/>
          <w:b/>
          <w:bCs/>
          <w:u w:val="single"/>
        </w:rPr>
      </w:pPr>
    </w:p>
    <w:sectPr w:rsidR="00C52A1F" w:rsidRPr="00C52A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90" w:rsidRDefault="00FF5990" w:rsidP="00C52A1F">
      <w:pPr>
        <w:spacing w:after="0" w:line="240" w:lineRule="auto"/>
      </w:pPr>
      <w:r>
        <w:separator/>
      </w:r>
    </w:p>
  </w:endnote>
  <w:endnote w:type="continuationSeparator" w:id="0">
    <w:p w:rsidR="00FF5990" w:rsidRDefault="00FF5990" w:rsidP="00C5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90" w:rsidRDefault="00FF5990" w:rsidP="00C52A1F">
      <w:pPr>
        <w:spacing w:after="0" w:line="240" w:lineRule="auto"/>
      </w:pPr>
      <w:r>
        <w:separator/>
      </w:r>
    </w:p>
  </w:footnote>
  <w:footnote w:type="continuationSeparator" w:id="0">
    <w:p w:rsidR="00FF5990" w:rsidRDefault="00FF5990" w:rsidP="00C52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1F" w:rsidRPr="009D5035" w:rsidRDefault="00C52A1F" w:rsidP="00C52A1F">
    <w:pPr>
      <w:pStyle w:val="Header"/>
      <w:jc w:val="center"/>
      <w:rPr>
        <w:rFonts w:asciiTheme="majorHAnsi" w:hAnsiTheme="majorHAnsi"/>
        <w:b/>
        <w:bCs/>
      </w:rPr>
    </w:pPr>
    <w:r w:rsidRPr="009D5035">
      <w:rPr>
        <w:rFonts w:asciiTheme="majorHAnsi" w:hAnsiTheme="majorHAnsi"/>
        <w:b/>
        <w:bCs/>
      </w:rPr>
      <w:t>TEL AVIV UNIVERSITY</w:t>
    </w:r>
  </w:p>
  <w:p w:rsidR="00C52A1F" w:rsidRPr="009D5035" w:rsidRDefault="00C52A1F" w:rsidP="00C52A1F">
    <w:pPr>
      <w:pStyle w:val="Header"/>
      <w:jc w:val="center"/>
      <w:rPr>
        <w:rFonts w:asciiTheme="majorHAnsi" w:hAnsiTheme="majorHAnsi"/>
        <w:b/>
        <w:bCs/>
      </w:rPr>
    </w:pPr>
    <w:r w:rsidRPr="009D5035">
      <w:rPr>
        <w:rFonts w:asciiTheme="majorHAnsi" w:hAnsiTheme="majorHAnsi"/>
        <w:b/>
        <w:bCs/>
      </w:rPr>
      <w:t>Safety Unit</w:t>
    </w:r>
  </w:p>
  <w:p w:rsidR="009D5035" w:rsidRPr="00C52A1F" w:rsidRDefault="009D5035" w:rsidP="009D5035">
    <w:pPr>
      <w:rPr>
        <w:rFonts w:asciiTheme="majorHAnsi" w:hAnsiTheme="majorHAnsi"/>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1409"/>
      <w:gridCol w:w="1095"/>
      <w:gridCol w:w="2007"/>
      <w:gridCol w:w="1828"/>
    </w:tblGrid>
    <w:tr w:rsidR="009D5035" w:rsidRPr="00C52A1F" w:rsidTr="00C44427">
      <w:tc>
        <w:tcPr>
          <w:tcW w:w="3256" w:type="dxa"/>
          <w:tcBorders>
            <w:bottom w:val="single" w:sz="4" w:space="0" w:color="auto"/>
          </w:tcBorders>
        </w:tcPr>
        <w:p w:rsidR="009D5035" w:rsidRPr="00C52A1F" w:rsidRDefault="009D5035" w:rsidP="00C44427">
          <w:pPr>
            <w:pStyle w:val="Header"/>
            <w:rPr>
              <w:rFonts w:asciiTheme="majorHAnsi" w:hAnsiTheme="majorHAnsi"/>
              <w:b/>
              <w:bCs/>
            </w:rPr>
          </w:pPr>
          <w:r w:rsidRPr="00C52A1F">
            <w:rPr>
              <w:rFonts w:asciiTheme="majorHAnsi" w:hAnsiTheme="majorHAnsi"/>
              <w:b/>
              <w:bCs/>
              <w:u w:val="single"/>
            </w:rPr>
            <w:t>SAFETY DIRECTIVES</w:t>
          </w:r>
          <w:r w:rsidRPr="00C52A1F">
            <w:rPr>
              <w:rFonts w:asciiTheme="majorHAnsi" w:hAnsiTheme="majorHAnsi"/>
              <w:b/>
              <w:bCs/>
            </w:rPr>
            <w:t xml:space="preserve"> </w:t>
          </w:r>
        </w:p>
      </w:tc>
      <w:tc>
        <w:tcPr>
          <w:tcW w:w="1417" w:type="dxa"/>
          <w:tcBorders>
            <w:bottom w:val="single" w:sz="4" w:space="0" w:color="auto"/>
          </w:tcBorders>
        </w:tcPr>
        <w:p w:rsidR="009D5035" w:rsidRPr="00C52A1F" w:rsidRDefault="009D5035" w:rsidP="00C44427">
          <w:pPr>
            <w:pStyle w:val="Header"/>
            <w:rPr>
              <w:rFonts w:asciiTheme="majorHAnsi" w:hAnsiTheme="majorHAnsi"/>
              <w:b/>
              <w:bCs/>
            </w:rPr>
          </w:pPr>
          <w:r w:rsidRPr="00C52A1F">
            <w:rPr>
              <w:rFonts w:asciiTheme="majorHAnsi" w:hAnsiTheme="majorHAnsi"/>
              <w:b/>
              <w:bCs/>
              <w:u w:val="single"/>
            </w:rPr>
            <w:t>Page No</w:t>
          </w:r>
          <w:r w:rsidRPr="00C52A1F">
            <w:rPr>
              <w:rFonts w:asciiTheme="majorHAnsi" w:hAnsiTheme="majorHAnsi"/>
              <w:b/>
              <w:bCs/>
            </w:rPr>
            <w:t>.</w:t>
          </w:r>
        </w:p>
        <w:p w:rsidR="009D5035" w:rsidRPr="00C52A1F" w:rsidRDefault="009D5035" w:rsidP="00C44427">
          <w:pPr>
            <w:pStyle w:val="Header"/>
            <w:rPr>
              <w:rFonts w:asciiTheme="majorHAnsi" w:hAnsiTheme="majorHAnsi"/>
              <w:b/>
              <w:bCs/>
            </w:rPr>
          </w:pPr>
          <w:r w:rsidRPr="00C52A1F">
            <w:rPr>
              <w:rFonts w:asciiTheme="majorHAnsi" w:hAnsiTheme="majorHAnsi"/>
              <w:b/>
              <w:bCs/>
            </w:rPr>
            <w:t>Of</w:t>
          </w:r>
        </w:p>
      </w:tc>
      <w:tc>
        <w:tcPr>
          <w:tcW w:w="1103" w:type="dxa"/>
          <w:tcBorders>
            <w:bottom w:val="single" w:sz="4" w:space="0" w:color="auto"/>
          </w:tcBorders>
        </w:tcPr>
        <w:p w:rsidR="009D5035" w:rsidRPr="00C52A1F" w:rsidRDefault="009D5035" w:rsidP="00C44427">
          <w:pPr>
            <w:pStyle w:val="Header"/>
            <w:jc w:val="center"/>
            <w:rPr>
              <w:rFonts w:asciiTheme="majorHAnsi" w:hAnsiTheme="majorHAnsi"/>
              <w:b/>
              <w:bCs/>
            </w:rPr>
          </w:pPr>
          <w:r w:rsidRPr="00C52A1F">
            <w:rPr>
              <w:rFonts w:asciiTheme="majorHAnsi" w:hAnsiTheme="majorHAnsi"/>
              <w:b/>
              <w:bCs/>
            </w:rPr>
            <w:fldChar w:fldCharType="begin"/>
          </w:r>
          <w:r w:rsidRPr="00C52A1F">
            <w:rPr>
              <w:rFonts w:asciiTheme="majorHAnsi" w:hAnsiTheme="majorHAnsi"/>
              <w:b/>
              <w:bCs/>
            </w:rPr>
            <w:instrText xml:space="preserve"> PAGE   \* MERGEFORMAT </w:instrText>
          </w:r>
          <w:r w:rsidRPr="00C52A1F">
            <w:rPr>
              <w:rFonts w:asciiTheme="majorHAnsi" w:hAnsiTheme="majorHAnsi"/>
              <w:b/>
              <w:bCs/>
            </w:rPr>
            <w:fldChar w:fldCharType="separate"/>
          </w:r>
          <w:r w:rsidR="0013346B">
            <w:rPr>
              <w:rFonts w:asciiTheme="majorHAnsi" w:hAnsiTheme="majorHAnsi"/>
              <w:b/>
              <w:bCs/>
              <w:noProof/>
            </w:rPr>
            <w:t>2</w:t>
          </w:r>
          <w:r w:rsidRPr="00C52A1F">
            <w:rPr>
              <w:rFonts w:asciiTheme="majorHAnsi" w:hAnsiTheme="majorHAnsi"/>
              <w:b/>
              <w:bCs/>
            </w:rPr>
            <w:fldChar w:fldCharType="end"/>
          </w:r>
        </w:p>
        <w:p w:rsidR="009D5035" w:rsidRPr="00C52A1F" w:rsidRDefault="009D5035" w:rsidP="00C44427">
          <w:pPr>
            <w:pStyle w:val="Header"/>
            <w:jc w:val="center"/>
            <w:rPr>
              <w:rFonts w:asciiTheme="majorHAnsi" w:hAnsiTheme="majorHAnsi"/>
              <w:b/>
              <w:bCs/>
            </w:rPr>
          </w:pPr>
          <w:r w:rsidRPr="00C52A1F">
            <w:rPr>
              <w:rFonts w:asciiTheme="majorHAnsi" w:hAnsiTheme="majorHAnsi"/>
              <w:b/>
              <w:bCs/>
            </w:rPr>
            <w:fldChar w:fldCharType="begin"/>
          </w:r>
          <w:r w:rsidRPr="00C52A1F">
            <w:rPr>
              <w:rFonts w:asciiTheme="majorHAnsi" w:hAnsiTheme="majorHAnsi"/>
              <w:b/>
              <w:bCs/>
            </w:rPr>
            <w:instrText xml:space="preserve"> NUMPAGES   \* MERGEFORMAT </w:instrText>
          </w:r>
          <w:r w:rsidRPr="00C52A1F">
            <w:rPr>
              <w:rFonts w:asciiTheme="majorHAnsi" w:hAnsiTheme="majorHAnsi"/>
              <w:b/>
              <w:bCs/>
            </w:rPr>
            <w:fldChar w:fldCharType="separate"/>
          </w:r>
          <w:r w:rsidR="0013346B">
            <w:rPr>
              <w:rFonts w:asciiTheme="majorHAnsi" w:hAnsiTheme="majorHAnsi"/>
              <w:b/>
              <w:bCs/>
              <w:noProof/>
            </w:rPr>
            <w:t>2</w:t>
          </w:r>
          <w:r w:rsidRPr="00C52A1F">
            <w:rPr>
              <w:rFonts w:asciiTheme="majorHAnsi" w:hAnsiTheme="majorHAnsi"/>
              <w:b/>
              <w:bCs/>
            </w:rPr>
            <w:fldChar w:fldCharType="end"/>
          </w:r>
        </w:p>
      </w:tc>
      <w:tc>
        <w:tcPr>
          <w:tcW w:w="2016" w:type="dxa"/>
          <w:tcBorders>
            <w:bottom w:val="single" w:sz="4" w:space="0" w:color="auto"/>
          </w:tcBorders>
        </w:tcPr>
        <w:p w:rsidR="009D5035" w:rsidRPr="00C52A1F" w:rsidRDefault="009D5035" w:rsidP="00C44427">
          <w:pPr>
            <w:pStyle w:val="Header"/>
            <w:jc w:val="center"/>
            <w:rPr>
              <w:rFonts w:asciiTheme="majorHAnsi" w:hAnsiTheme="majorHAnsi"/>
              <w:b/>
              <w:bCs/>
            </w:rPr>
          </w:pPr>
          <w:r w:rsidRPr="00C52A1F">
            <w:rPr>
              <w:rFonts w:asciiTheme="majorHAnsi" w:hAnsiTheme="majorHAnsi"/>
              <w:b/>
              <w:bCs/>
              <w:u w:val="single"/>
            </w:rPr>
            <w:t>Date published</w:t>
          </w:r>
        </w:p>
        <w:p w:rsidR="009D5035" w:rsidRPr="00C52A1F" w:rsidRDefault="009D5035" w:rsidP="00C44427">
          <w:pPr>
            <w:pStyle w:val="Header"/>
            <w:jc w:val="center"/>
            <w:rPr>
              <w:rFonts w:asciiTheme="majorHAnsi" w:hAnsiTheme="majorHAnsi"/>
              <w:b/>
              <w:bCs/>
            </w:rPr>
          </w:pPr>
        </w:p>
      </w:tc>
      <w:tc>
        <w:tcPr>
          <w:tcW w:w="1836" w:type="dxa"/>
          <w:tcBorders>
            <w:bottom w:val="single" w:sz="4" w:space="0" w:color="auto"/>
          </w:tcBorders>
        </w:tcPr>
        <w:p w:rsidR="009D5035" w:rsidRPr="00C52A1F" w:rsidRDefault="009D5035" w:rsidP="00C44427">
          <w:pPr>
            <w:pStyle w:val="Header"/>
            <w:jc w:val="center"/>
            <w:rPr>
              <w:rFonts w:asciiTheme="majorHAnsi" w:hAnsiTheme="majorHAnsi"/>
              <w:b/>
              <w:bCs/>
            </w:rPr>
          </w:pPr>
          <w:r w:rsidRPr="00C52A1F">
            <w:rPr>
              <w:rFonts w:asciiTheme="majorHAnsi" w:hAnsiTheme="majorHAnsi"/>
              <w:b/>
              <w:bCs/>
              <w:u w:val="single"/>
            </w:rPr>
            <w:t>Directive No.</w:t>
          </w:r>
        </w:p>
        <w:p w:rsidR="009D5035" w:rsidRPr="00C52A1F" w:rsidRDefault="009D5035" w:rsidP="00C44427">
          <w:pPr>
            <w:pStyle w:val="Header"/>
            <w:jc w:val="center"/>
            <w:rPr>
              <w:rFonts w:asciiTheme="majorHAnsi" w:hAnsiTheme="majorHAnsi"/>
              <w:b/>
              <w:bCs/>
            </w:rPr>
          </w:pPr>
          <w:r w:rsidRPr="00C52A1F">
            <w:rPr>
              <w:rFonts w:asciiTheme="majorHAnsi" w:hAnsiTheme="majorHAnsi"/>
              <w:b/>
              <w:bCs/>
            </w:rPr>
            <w:t>07-30</w:t>
          </w:r>
          <w:r>
            <w:rPr>
              <w:rFonts w:asciiTheme="majorHAnsi" w:hAnsiTheme="majorHAnsi"/>
              <w:b/>
              <w:bCs/>
            </w:rPr>
            <w:t>4</w:t>
          </w:r>
        </w:p>
      </w:tc>
    </w:tr>
    <w:tr w:rsidR="009D5035" w:rsidRPr="00C52A1F" w:rsidTr="00C44427">
      <w:tc>
        <w:tcPr>
          <w:tcW w:w="9628" w:type="dxa"/>
          <w:gridSpan w:val="5"/>
          <w:tcBorders>
            <w:top w:val="single" w:sz="4" w:space="0" w:color="auto"/>
            <w:bottom w:val="single" w:sz="4" w:space="0" w:color="auto"/>
          </w:tcBorders>
        </w:tcPr>
        <w:p w:rsidR="009D5035" w:rsidRPr="00C52A1F" w:rsidRDefault="009D5035" w:rsidP="00C44427">
          <w:pPr>
            <w:pStyle w:val="Header"/>
            <w:tabs>
              <w:tab w:val="right" w:pos="6117"/>
            </w:tabs>
            <w:spacing w:before="120" w:after="120"/>
            <w:rPr>
              <w:rFonts w:asciiTheme="majorHAnsi" w:hAnsiTheme="majorHAnsi"/>
              <w:u w:val="single"/>
            </w:rPr>
          </w:pPr>
          <w:r w:rsidRPr="00C52A1F">
            <w:rPr>
              <w:rFonts w:asciiTheme="majorHAnsi" w:hAnsiTheme="majorHAnsi"/>
              <w:b/>
              <w:bCs/>
            </w:rPr>
            <w:t>Name of Directive:</w:t>
          </w:r>
          <w:r w:rsidRPr="00C52A1F">
            <w:rPr>
              <w:rFonts w:asciiTheme="majorHAnsi" w:hAnsiTheme="majorHAnsi"/>
              <w:b/>
              <w:bCs/>
            </w:rPr>
            <w:tab/>
          </w:r>
          <w:r w:rsidRPr="00C52A1F">
            <w:rPr>
              <w:rFonts w:asciiTheme="majorHAnsi" w:hAnsiTheme="majorHAnsi"/>
              <w:b/>
              <w:bCs/>
            </w:rPr>
            <w:tab/>
          </w:r>
          <w:r w:rsidRPr="00C52A1F">
            <w:rPr>
              <w:rFonts w:asciiTheme="majorHAnsi" w:hAnsiTheme="majorHAnsi"/>
              <w:b/>
              <w:bCs/>
              <w:sz w:val="26"/>
              <w:szCs w:val="26"/>
            </w:rPr>
            <w:t>University Safety</w:t>
          </w:r>
        </w:p>
      </w:tc>
    </w:tr>
  </w:tbl>
  <w:p w:rsidR="009D5035" w:rsidRPr="00C52A1F" w:rsidRDefault="009D5035" w:rsidP="009D5035">
    <w:pPr>
      <w:pStyle w:val="Header"/>
      <w:rPr>
        <w:rFonts w:asciiTheme="majorHAnsi" w:hAnsiTheme="majorHAnsi"/>
      </w:rPr>
    </w:pPr>
  </w:p>
  <w:p w:rsidR="009D5035" w:rsidRDefault="009D5035" w:rsidP="009D5035">
    <w:pPr>
      <w:pStyle w:val="Header"/>
      <w:spacing w:after="120" w:line="276" w:lineRule="auto"/>
      <w:rPr>
        <w:rFonts w:asciiTheme="majorHAnsi" w:hAnsiTheme="majorHAnsi"/>
        <w:b/>
        <w:bCs/>
        <w:u w:val="single"/>
      </w:rPr>
    </w:pPr>
    <w:r>
      <w:rPr>
        <w:rFonts w:asciiTheme="majorHAnsi" w:hAnsiTheme="majorHAnsi"/>
      </w:rPr>
      <w:t xml:space="preserve">Name of appendix: </w:t>
    </w:r>
    <w:r>
      <w:rPr>
        <w:rFonts w:asciiTheme="majorHAnsi" w:hAnsiTheme="majorHAnsi"/>
        <w:b/>
        <w:bCs/>
        <w:u w:val="single"/>
      </w:rPr>
      <w:t>Safety in handling toxins (storage, moving, usage)</w:t>
    </w:r>
  </w:p>
  <w:p w:rsidR="009D5035" w:rsidRDefault="009D5035" w:rsidP="00C52A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F172A"/>
    <w:multiLevelType w:val="hybridMultilevel"/>
    <w:tmpl w:val="A1CC9C9E"/>
    <w:lvl w:ilvl="0" w:tplc="A88C7B84">
      <w:start w:val="1"/>
      <w:numFmt w:val="upperLetter"/>
      <w:lvlText w:val="%1."/>
      <w:lvlJc w:val="center"/>
      <w:pPr>
        <w:ind w:left="2849" w:hanging="360"/>
      </w:pPr>
      <w:rPr>
        <w:rFonts w:hint="default"/>
      </w:rPr>
    </w:lvl>
    <w:lvl w:ilvl="1" w:tplc="04090019" w:tentative="1">
      <w:start w:val="1"/>
      <w:numFmt w:val="lowerLetter"/>
      <w:lvlText w:val="%2."/>
      <w:lvlJc w:val="left"/>
      <w:pPr>
        <w:ind w:left="3569" w:hanging="360"/>
      </w:pPr>
    </w:lvl>
    <w:lvl w:ilvl="2" w:tplc="0409001B" w:tentative="1">
      <w:start w:val="1"/>
      <w:numFmt w:val="lowerRoman"/>
      <w:lvlText w:val="%3."/>
      <w:lvlJc w:val="right"/>
      <w:pPr>
        <w:ind w:left="4289" w:hanging="180"/>
      </w:pPr>
    </w:lvl>
    <w:lvl w:ilvl="3" w:tplc="0409000F" w:tentative="1">
      <w:start w:val="1"/>
      <w:numFmt w:val="decimal"/>
      <w:lvlText w:val="%4."/>
      <w:lvlJc w:val="left"/>
      <w:pPr>
        <w:ind w:left="5009" w:hanging="360"/>
      </w:pPr>
    </w:lvl>
    <w:lvl w:ilvl="4" w:tplc="04090019" w:tentative="1">
      <w:start w:val="1"/>
      <w:numFmt w:val="lowerLetter"/>
      <w:lvlText w:val="%5."/>
      <w:lvlJc w:val="left"/>
      <w:pPr>
        <w:ind w:left="5729" w:hanging="360"/>
      </w:pPr>
    </w:lvl>
    <w:lvl w:ilvl="5" w:tplc="0409001B" w:tentative="1">
      <w:start w:val="1"/>
      <w:numFmt w:val="lowerRoman"/>
      <w:lvlText w:val="%6."/>
      <w:lvlJc w:val="right"/>
      <w:pPr>
        <w:ind w:left="6449" w:hanging="180"/>
      </w:pPr>
    </w:lvl>
    <w:lvl w:ilvl="6" w:tplc="0409000F" w:tentative="1">
      <w:start w:val="1"/>
      <w:numFmt w:val="decimal"/>
      <w:lvlText w:val="%7."/>
      <w:lvlJc w:val="left"/>
      <w:pPr>
        <w:ind w:left="7169" w:hanging="360"/>
      </w:pPr>
    </w:lvl>
    <w:lvl w:ilvl="7" w:tplc="04090019" w:tentative="1">
      <w:start w:val="1"/>
      <w:numFmt w:val="lowerLetter"/>
      <w:lvlText w:val="%8."/>
      <w:lvlJc w:val="left"/>
      <w:pPr>
        <w:ind w:left="7889" w:hanging="360"/>
      </w:pPr>
    </w:lvl>
    <w:lvl w:ilvl="8" w:tplc="0409001B" w:tentative="1">
      <w:start w:val="1"/>
      <w:numFmt w:val="lowerRoman"/>
      <w:lvlText w:val="%9."/>
      <w:lvlJc w:val="right"/>
      <w:pPr>
        <w:ind w:left="86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52"/>
    <w:rsid w:val="000008D4"/>
    <w:rsid w:val="00076302"/>
    <w:rsid w:val="000947F9"/>
    <w:rsid w:val="0013346B"/>
    <w:rsid w:val="002135B7"/>
    <w:rsid w:val="00255D2C"/>
    <w:rsid w:val="003207FA"/>
    <w:rsid w:val="003575C6"/>
    <w:rsid w:val="00372152"/>
    <w:rsid w:val="00512131"/>
    <w:rsid w:val="005E3109"/>
    <w:rsid w:val="00600546"/>
    <w:rsid w:val="006D69AA"/>
    <w:rsid w:val="006D7E6C"/>
    <w:rsid w:val="00794854"/>
    <w:rsid w:val="0084786A"/>
    <w:rsid w:val="00866790"/>
    <w:rsid w:val="009032A4"/>
    <w:rsid w:val="009820EF"/>
    <w:rsid w:val="009A33C3"/>
    <w:rsid w:val="009D5035"/>
    <w:rsid w:val="009F4521"/>
    <w:rsid w:val="00A36EB8"/>
    <w:rsid w:val="00A77136"/>
    <w:rsid w:val="00A90EA6"/>
    <w:rsid w:val="00BA2148"/>
    <w:rsid w:val="00BE2680"/>
    <w:rsid w:val="00C223C3"/>
    <w:rsid w:val="00C52A1F"/>
    <w:rsid w:val="00CA5693"/>
    <w:rsid w:val="00CD4EDF"/>
    <w:rsid w:val="00D90BD9"/>
    <w:rsid w:val="00DA6D75"/>
    <w:rsid w:val="00E16CF3"/>
    <w:rsid w:val="00EA5F02"/>
    <w:rsid w:val="00EA7FD5"/>
    <w:rsid w:val="00F56427"/>
    <w:rsid w:val="00FE2C28"/>
    <w:rsid w:val="00FF5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1F"/>
    <w:rPr>
      <w:rFonts w:ascii="Times New Roman" w:hAnsi="Times New Roman" w:cs="Times New Roman"/>
    </w:rPr>
  </w:style>
  <w:style w:type="paragraph" w:styleId="Footer">
    <w:name w:val="footer"/>
    <w:basedOn w:val="Normal"/>
    <w:link w:val="FooterChar"/>
    <w:uiPriority w:val="99"/>
    <w:unhideWhenUsed/>
    <w:rsid w:val="00C5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1F"/>
    <w:rPr>
      <w:rFonts w:ascii="Times New Roman" w:hAnsi="Times New Roman" w:cs="Times New Roman"/>
    </w:rPr>
  </w:style>
  <w:style w:type="table" w:styleId="TableGrid">
    <w:name w:val="Table Grid"/>
    <w:basedOn w:val="TableNormal"/>
    <w:uiPriority w:val="39"/>
    <w:rsid w:val="00C52A1F"/>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1F"/>
    <w:rPr>
      <w:rFonts w:ascii="Times New Roman" w:hAnsi="Times New Roman" w:cs="Times New Roman"/>
    </w:rPr>
  </w:style>
  <w:style w:type="paragraph" w:styleId="Footer">
    <w:name w:val="footer"/>
    <w:basedOn w:val="Normal"/>
    <w:link w:val="FooterChar"/>
    <w:uiPriority w:val="99"/>
    <w:unhideWhenUsed/>
    <w:rsid w:val="00C5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1F"/>
    <w:rPr>
      <w:rFonts w:ascii="Times New Roman" w:hAnsi="Times New Roman" w:cs="Times New Roman"/>
    </w:rPr>
  </w:style>
  <w:style w:type="table" w:styleId="TableGrid">
    <w:name w:val="Table Grid"/>
    <w:basedOn w:val="TableNormal"/>
    <w:uiPriority w:val="39"/>
    <w:rsid w:val="00C52A1F"/>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Sagir</dc:creator>
  <cp:lastModifiedBy>Michele Sagir</cp:lastModifiedBy>
  <cp:revision>4</cp:revision>
  <dcterms:created xsi:type="dcterms:W3CDTF">2020-11-10T11:56:00Z</dcterms:created>
  <dcterms:modified xsi:type="dcterms:W3CDTF">2020-11-16T15:07:00Z</dcterms:modified>
</cp:coreProperties>
</file>