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85" w:type="dxa"/>
        </w:tblCellMar>
        <w:tblLook w:val="04A0" w:firstRow="1" w:lastRow="0" w:firstColumn="1" w:lastColumn="0" w:noHBand="0" w:noVBand="1"/>
      </w:tblPr>
      <w:tblGrid>
        <w:gridCol w:w="1465"/>
        <w:gridCol w:w="860"/>
        <w:gridCol w:w="7882"/>
      </w:tblGrid>
      <w:tr w:rsidR="001C37B4" w:rsidRPr="00F12490" w14:paraId="28874FC5" w14:textId="77777777" w:rsidTr="009B0E16">
        <w:trPr>
          <w:tblHeader/>
        </w:trPr>
        <w:tc>
          <w:tcPr>
            <w:tcW w:w="10207" w:type="dxa"/>
            <w:gridSpan w:val="3"/>
          </w:tcPr>
          <w:p w14:paraId="4F73CCDE" w14:textId="5D907DBD" w:rsidR="001C37B4" w:rsidRPr="00F12490" w:rsidRDefault="001C37B4" w:rsidP="001C37B4">
            <w:pPr>
              <w:pStyle w:val="ListParagraph"/>
              <w:spacing w:line="240" w:lineRule="auto"/>
              <w:ind w:left="0"/>
              <w:contextualSpacing w:val="0"/>
              <w:jc w:val="left"/>
              <w:rPr>
                <w:b/>
                <w:bCs/>
                <w:u w:val="single"/>
              </w:rPr>
            </w:pPr>
            <w:r w:rsidRPr="00F12490">
              <w:t>Name of Appendix:</w:t>
            </w:r>
            <w:r w:rsidRPr="00F12490">
              <w:tab/>
            </w:r>
            <w:r w:rsidRPr="00F12490">
              <w:rPr>
                <w:b/>
                <w:bCs/>
                <w:u w:val="single"/>
              </w:rPr>
              <w:t xml:space="preserve">Work Safety for </w:t>
            </w:r>
            <w:r w:rsidR="00402031" w:rsidRPr="00F12490">
              <w:rPr>
                <w:b/>
                <w:bCs/>
                <w:u w:val="single"/>
              </w:rPr>
              <w:t>building manager</w:t>
            </w:r>
            <w:r w:rsidRPr="00F12490">
              <w:rPr>
                <w:b/>
                <w:bCs/>
                <w:u w:val="single"/>
              </w:rPr>
              <w:t>s</w:t>
            </w:r>
          </w:p>
        </w:tc>
      </w:tr>
      <w:tr w:rsidR="009B0E16" w:rsidRPr="00F12490" w14:paraId="003301A2" w14:textId="77777777" w:rsidTr="00D745F3">
        <w:tc>
          <w:tcPr>
            <w:tcW w:w="922" w:type="dxa"/>
          </w:tcPr>
          <w:p w14:paraId="32A0704E" w14:textId="77777777" w:rsidR="009B0E16" w:rsidRPr="00F12490" w:rsidRDefault="009B0E16" w:rsidP="001C37B4">
            <w:pPr>
              <w:pStyle w:val="ListParagraph"/>
              <w:spacing w:after="60" w:line="240" w:lineRule="auto"/>
              <w:ind w:left="0"/>
              <w:contextualSpacing w:val="0"/>
              <w:jc w:val="left"/>
            </w:pPr>
            <w:r w:rsidRPr="00F12490">
              <w:t>Goal:</w:t>
            </w:r>
          </w:p>
          <w:p w14:paraId="19773BFC" w14:textId="1EF08856" w:rsidR="009B0E16" w:rsidRPr="00F12490" w:rsidRDefault="009B0E16" w:rsidP="00545A01">
            <w:pPr>
              <w:pStyle w:val="ListParagraph"/>
              <w:spacing w:after="60" w:line="240" w:lineRule="auto"/>
              <w:ind w:left="0"/>
              <w:contextualSpacing w:val="0"/>
              <w:jc w:val="left"/>
            </w:pPr>
          </w:p>
        </w:tc>
        <w:tc>
          <w:tcPr>
            <w:tcW w:w="922" w:type="dxa"/>
          </w:tcPr>
          <w:p w14:paraId="6A0BFA5A" w14:textId="20883B6B" w:rsidR="009B0E16" w:rsidRPr="00F12490" w:rsidRDefault="009B0E16" w:rsidP="00700B39">
            <w:pPr>
              <w:pStyle w:val="ListParagraph"/>
              <w:numPr>
                <w:ilvl w:val="0"/>
                <w:numId w:val="4"/>
              </w:numPr>
              <w:spacing w:after="60" w:line="240" w:lineRule="auto"/>
              <w:jc w:val="left"/>
            </w:pPr>
          </w:p>
        </w:tc>
        <w:tc>
          <w:tcPr>
            <w:tcW w:w="8363" w:type="dxa"/>
          </w:tcPr>
          <w:p w14:paraId="68903AF7" w14:textId="7EBF30FC"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 xml:space="preserve">This directive states the safety rules that building managers must follow in their work, and this is in addition to the University’s directive on “University Safety” No. 07-302, and the directive on “Roles of a </w:t>
            </w:r>
            <w:r w:rsidR="00402031" w:rsidRPr="00F12490">
              <w:rPr>
                <w:rFonts w:ascii="Cambria" w:hAnsi="Cambria"/>
                <w:noProof w:val="0"/>
              </w:rPr>
              <w:t>building manager</w:t>
            </w:r>
            <w:r w:rsidRPr="00F12490">
              <w:rPr>
                <w:rFonts w:ascii="Cambria" w:hAnsi="Cambria"/>
                <w:noProof w:val="0"/>
              </w:rPr>
              <w:t>” (No. 02-001).</w:t>
            </w:r>
          </w:p>
        </w:tc>
      </w:tr>
      <w:tr w:rsidR="009B0E16" w:rsidRPr="00F12490" w14:paraId="0A8388B5" w14:textId="77777777" w:rsidTr="00D745F3">
        <w:tc>
          <w:tcPr>
            <w:tcW w:w="922" w:type="dxa"/>
          </w:tcPr>
          <w:p w14:paraId="3628F814" w14:textId="77777777" w:rsidR="00700B39" w:rsidRPr="00F12490" w:rsidRDefault="00700B39" w:rsidP="00700B39">
            <w:pPr>
              <w:pStyle w:val="ListParagraph"/>
              <w:spacing w:after="0" w:line="240" w:lineRule="auto"/>
              <w:ind w:left="0"/>
              <w:contextualSpacing w:val="0"/>
              <w:jc w:val="left"/>
            </w:pPr>
            <w:r w:rsidRPr="00F12490">
              <w:t xml:space="preserve">Jobs relating </w:t>
            </w:r>
          </w:p>
          <w:p w14:paraId="5CC1F6B9" w14:textId="182300C9" w:rsidR="00700B39" w:rsidRPr="00F12490" w:rsidRDefault="00700B39" w:rsidP="00700B39">
            <w:pPr>
              <w:pStyle w:val="ListParagraph"/>
              <w:spacing w:after="60" w:line="240" w:lineRule="auto"/>
              <w:ind w:left="0"/>
              <w:contextualSpacing w:val="0"/>
              <w:jc w:val="left"/>
            </w:pPr>
            <w:r w:rsidRPr="00F12490">
              <w:t>to safety</w:t>
            </w:r>
          </w:p>
          <w:p w14:paraId="3B0E288A" w14:textId="77777777" w:rsidR="009B0E16" w:rsidRPr="00F12490" w:rsidRDefault="009B0E16" w:rsidP="001C37B4">
            <w:pPr>
              <w:pStyle w:val="ListParagraph"/>
              <w:spacing w:after="60" w:line="240" w:lineRule="auto"/>
              <w:ind w:left="0"/>
              <w:jc w:val="left"/>
            </w:pPr>
          </w:p>
        </w:tc>
        <w:tc>
          <w:tcPr>
            <w:tcW w:w="922" w:type="dxa"/>
          </w:tcPr>
          <w:p w14:paraId="3FD2468B" w14:textId="27B08C96" w:rsidR="009B0E16" w:rsidRPr="00F12490" w:rsidRDefault="009B0E16" w:rsidP="00700B39">
            <w:pPr>
              <w:pStyle w:val="ListParagraph"/>
              <w:numPr>
                <w:ilvl w:val="0"/>
                <w:numId w:val="4"/>
              </w:numPr>
              <w:spacing w:after="60" w:line="240" w:lineRule="auto"/>
              <w:jc w:val="left"/>
            </w:pPr>
          </w:p>
        </w:tc>
        <w:tc>
          <w:tcPr>
            <w:tcW w:w="8363" w:type="dxa"/>
          </w:tcPr>
          <w:p w14:paraId="00E92029" w14:textId="2AD1A4C7" w:rsidR="009B0E16" w:rsidRPr="00F12490" w:rsidRDefault="009B0E16" w:rsidP="009B2CC1">
            <w:pPr>
              <w:bidi w:val="0"/>
              <w:spacing w:after="120" w:line="276" w:lineRule="auto"/>
              <w:ind w:left="360"/>
              <w:rPr>
                <w:rFonts w:ascii="Cambria" w:hAnsi="Cambria"/>
                <w:noProof w:val="0"/>
              </w:rPr>
            </w:pPr>
            <w:r w:rsidRPr="00F12490">
              <w:rPr>
                <w:rFonts w:ascii="Cambria" w:hAnsi="Cambria"/>
                <w:noProof w:val="0"/>
              </w:rPr>
              <w:t xml:space="preserve">The </w:t>
            </w:r>
            <w:r w:rsidR="009B2CC1">
              <w:rPr>
                <w:rFonts w:ascii="Cambria" w:hAnsi="Cambria"/>
                <w:noProof w:val="0"/>
              </w:rPr>
              <w:t>b</w:t>
            </w:r>
            <w:r w:rsidRPr="00F12490">
              <w:rPr>
                <w:rFonts w:ascii="Cambria" w:hAnsi="Cambria"/>
                <w:noProof w:val="0"/>
              </w:rPr>
              <w:t xml:space="preserve">uilding </w:t>
            </w:r>
            <w:r w:rsidR="00CC0477" w:rsidRPr="00F12490">
              <w:rPr>
                <w:rFonts w:ascii="Cambria" w:hAnsi="Cambria"/>
                <w:noProof w:val="0"/>
              </w:rPr>
              <w:t>m</w:t>
            </w:r>
            <w:r w:rsidRPr="00F12490">
              <w:rPr>
                <w:rFonts w:ascii="Cambria" w:hAnsi="Cambria"/>
                <w:noProof w:val="0"/>
              </w:rPr>
              <w:t xml:space="preserve">anager is responsible for working to the best of his ability and understanding to prevent injuries to residents and visitors and to prevent fires in the building.  The </w:t>
            </w:r>
            <w:r w:rsidR="00402031" w:rsidRPr="00F12490">
              <w:rPr>
                <w:rFonts w:ascii="Cambria" w:hAnsi="Cambria"/>
                <w:noProof w:val="0"/>
              </w:rPr>
              <w:t>b</w:t>
            </w:r>
            <w:r w:rsidRPr="00F12490">
              <w:rPr>
                <w:rFonts w:ascii="Cambria" w:hAnsi="Cambria"/>
                <w:noProof w:val="0"/>
              </w:rPr>
              <w:t xml:space="preserve">uilding </w:t>
            </w:r>
            <w:r w:rsidR="00CC0477" w:rsidRPr="00F12490">
              <w:rPr>
                <w:rFonts w:ascii="Cambria" w:hAnsi="Cambria"/>
                <w:noProof w:val="0"/>
              </w:rPr>
              <w:t>m</w:t>
            </w:r>
            <w:r w:rsidRPr="00F12490">
              <w:rPr>
                <w:rFonts w:ascii="Cambria" w:hAnsi="Cambria"/>
                <w:noProof w:val="0"/>
              </w:rPr>
              <w:t>anager is responsible for regular maintenance of the safety equipment in the building for which he is responsible.</w:t>
            </w:r>
          </w:p>
        </w:tc>
      </w:tr>
      <w:tr w:rsidR="009B0E16" w:rsidRPr="00F12490" w14:paraId="3BCB55EC" w14:textId="77777777" w:rsidTr="00D745F3">
        <w:tc>
          <w:tcPr>
            <w:tcW w:w="922" w:type="dxa"/>
          </w:tcPr>
          <w:p w14:paraId="7D7FB786" w14:textId="77777777" w:rsidR="009B0E16" w:rsidRPr="00F12490" w:rsidRDefault="009B0E16" w:rsidP="001C37B4">
            <w:pPr>
              <w:pStyle w:val="ListParagraph"/>
              <w:spacing w:after="60" w:line="240" w:lineRule="auto"/>
              <w:ind w:left="0"/>
              <w:jc w:val="left"/>
            </w:pPr>
          </w:p>
        </w:tc>
        <w:tc>
          <w:tcPr>
            <w:tcW w:w="922" w:type="dxa"/>
          </w:tcPr>
          <w:p w14:paraId="732049FD" w14:textId="7051643F" w:rsidR="009B0E16" w:rsidRPr="00F12490" w:rsidRDefault="009B0E16" w:rsidP="00700B39">
            <w:pPr>
              <w:pStyle w:val="ListParagraph"/>
              <w:numPr>
                <w:ilvl w:val="0"/>
                <w:numId w:val="4"/>
              </w:numPr>
              <w:spacing w:after="60" w:line="240" w:lineRule="auto"/>
              <w:jc w:val="left"/>
            </w:pPr>
          </w:p>
        </w:tc>
        <w:tc>
          <w:tcPr>
            <w:tcW w:w="8363" w:type="dxa"/>
          </w:tcPr>
          <w:p w14:paraId="38C36A21" w14:textId="6A27F1D5" w:rsidR="009B0E16" w:rsidRPr="00F12490" w:rsidRDefault="009B0E16" w:rsidP="00402031">
            <w:pPr>
              <w:bidi w:val="0"/>
              <w:spacing w:after="120" w:line="276" w:lineRule="auto"/>
              <w:ind w:left="360"/>
              <w:rPr>
                <w:rFonts w:ascii="Cambria" w:hAnsi="Cambria"/>
                <w:noProof w:val="0"/>
              </w:rPr>
            </w:pPr>
            <w:r w:rsidRPr="00F12490">
              <w:rPr>
                <w:rFonts w:ascii="Cambria" w:hAnsi="Cambria"/>
                <w:noProof w:val="0"/>
              </w:rPr>
              <w:t xml:space="preserve">The </w:t>
            </w:r>
            <w:r w:rsidR="00402031" w:rsidRPr="00F12490">
              <w:rPr>
                <w:rFonts w:ascii="Cambria" w:hAnsi="Cambria"/>
                <w:noProof w:val="0"/>
              </w:rPr>
              <w:t>b</w:t>
            </w:r>
            <w:r w:rsidRPr="00F12490">
              <w:rPr>
                <w:rFonts w:ascii="Cambria" w:hAnsi="Cambria"/>
                <w:noProof w:val="0"/>
              </w:rPr>
              <w:t xml:space="preserve">uilding </w:t>
            </w:r>
            <w:r w:rsidR="00CC0477" w:rsidRPr="00F12490">
              <w:rPr>
                <w:rFonts w:ascii="Cambria" w:hAnsi="Cambria"/>
                <w:noProof w:val="0"/>
              </w:rPr>
              <w:t>m</w:t>
            </w:r>
            <w:r w:rsidRPr="00F12490">
              <w:rPr>
                <w:rFonts w:ascii="Cambria" w:hAnsi="Cambria"/>
                <w:noProof w:val="0"/>
              </w:rPr>
              <w:t>anager must ensure that safety arrangements for all the building’s technical installations (lighting, PA system, fire detectors, heating and AC systems, elevators, laundry, technical pipes, etc.) are in proper working order.  He can turn to technical workers, the University’s safety supervisor and anyone else, as relevant, for assistance.</w:t>
            </w:r>
          </w:p>
        </w:tc>
      </w:tr>
      <w:tr w:rsidR="009B0E16" w:rsidRPr="00F12490" w14:paraId="4FE136A4" w14:textId="77777777" w:rsidTr="00D745F3">
        <w:tc>
          <w:tcPr>
            <w:tcW w:w="922" w:type="dxa"/>
          </w:tcPr>
          <w:p w14:paraId="13925847" w14:textId="77777777" w:rsidR="009B0E16" w:rsidRPr="00F12490" w:rsidRDefault="009B0E16" w:rsidP="001C37B4">
            <w:pPr>
              <w:pStyle w:val="ListParagraph"/>
              <w:spacing w:after="60" w:line="240" w:lineRule="auto"/>
              <w:ind w:left="0"/>
              <w:jc w:val="left"/>
            </w:pPr>
          </w:p>
        </w:tc>
        <w:tc>
          <w:tcPr>
            <w:tcW w:w="922" w:type="dxa"/>
          </w:tcPr>
          <w:p w14:paraId="02AC01B9" w14:textId="7E07FD6E" w:rsidR="009B0E16" w:rsidRPr="00F12490" w:rsidRDefault="009B0E16" w:rsidP="00700B39">
            <w:pPr>
              <w:pStyle w:val="ListParagraph"/>
              <w:numPr>
                <w:ilvl w:val="0"/>
                <w:numId w:val="4"/>
              </w:numPr>
              <w:spacing w:after="60" w:line="240" w:lineRule="auto"/>
              <w:jc w:val="left"/>
            </w:pPr>
          </w:p>
        </w:tc>
        <w:tc>
          <w:tcPr>
            <w:tcW w:w="8363" w:type="dxa"/>
          </w:tcPr>
          <w:p w14:paraId="1BCAD885" w14:textId="0144110D" w:rsidR="009B0E16" w:rsidRPr="00F12490" w:rsidRDefault="009B0E16" w:rsidP="00402031">
            <w:pPr>
              <w:bidi w:val="0"/>
              <w:spacing w:after="120" w:line="276" w:lineRule="auto"/>
              <w:ind w:left="360"/>
              <w:rPr>
                <w:rFonts w:ascii="Cambria" w:hAnsi="Cambria"/>
                <w:noProof w:val="0"/>
              </w:rPr>
            </w:pPr>
            <w:r w:rsidRPr="00F12490">
              <w:rPr>
                <w:rFonts w:ascii="Cambria" w:hAnsi="Cambria"/>
                <w:noProof w:val="0"/>
              </w:rPr>
              <w:t xml:space="preserve">In the event of a malfunction or suspected malfunction in one of the technical installations mentioned above, the </w:t>
            </w:r>
            <w:r w:rsidR="00402031" w:rsidRPr="00F12490">
              <w:rPr>
                <w:rFonts w:ascii="Cambria" w:hAnsi="Cambria"/>
                <w:noProof w:val="0"/>
              </w:rPr>
              <w:t>b</w:t>
            </w:r>
            <w:r w:rsidRPr="00F12490">
              <w:rPr>
                <w:rFonts w:ascii="Cambria" w:hAnsi="Cambria"/>
                <w:noProof w:val="0"/>
              </w:rPr>
              <w:t xml:space="preserve">uilding </w:t>
            </w:r>
            <w:r w:rsidR="00402031" w:rsidRPr="00F12490">
              <w:rPr>
                <w:rFonts w:ascii="Cambria" w:hAnsi="Cambria"/>
                <w:noProof w:val="0"/>
              </w:rPr>
              <w:t>m</w:t>
            </w:r>
            <w:r w:rsidRPr="00F12490">
              <w:rPr>
                <w:rFonts w:ascii="Cambria" w:hAnsi="Cambria"/>
                <w:noProof w:val="0"/>
              </w:rPr>
              <w:t xml:space="preserve">anager will shut it off until he can arrange for a certified inspection, and receives permission to start it up again.  Once the installation is turned off, the </w:t>
            </w:r>
            <w:r w:rsidR="00402031" w:rsidRPr="00F12490">
              <w:rPr>
                <w:rFonts w:ascii="Cambria" w:hAnsi="Cambria"/>
                <w:noProof w:val="0"/>
              </w:rPr>
              <w:t>building manager</w:t>
            </w:r>
            <w:r w:rsidRPr="00F12490">
              <w:rPr>
                <w:rFonts w:ascii="Cambria" w:hAnsi="Cambria"/>
                <w:noProof w:val="0"/>
              </w:rPr>
              <w:t xml:space="preserve"> should fence it off and hang a sign on the installation </w:t>
            </w:r>
            <w:r w:rsidR="00402031" w:rsidRPr="00F12490">
              <w:rPr>
                <w:rFonts w:ascii="Cambria" w:hAnsi="Cambria"/>
                <w:noProof w:val="0"/>
              </w:rPr>
              <w:t xml:space="preserve">indicating </w:t>
            </w:r>
            <w:r w:rsidRPr="00F12490">
              <w:rPr>
                <w:rFonts w:ascii="Cambria" w:hAnsi="Cambria"/>
                <w:noProof w:val="0"/>
              </w:rPr>
              <w:t xml:space="preserve">that </w:t>
            </w:r>
            <w:r w:rsidR="00402031" w:rsidRPr="00F12490">
              <w:rPr>
                <w:rFonts w:ascii="Cambria" w:hAnsi="Cambria"/>
                <w:noProof w:val="0"/>
              </w:rPr>
              <w:t xml:space="preserve">it </w:t>
            </w:r>
            <w:r w:rsidRPr="00F12490">
              <w:rPr>
                <w:rFonts w:ascii="Cambria" w:hAnsi="Cambria"/>
                <w:noProof w:val="0"/>
              </w:rPr>
              <w:t>is out of service, or do something else to make sure no one starts it up again.</w:t>
            </w:r>
          </w:p>
        </w:tc>
      </w:tr>
      <w:tr w:rsidR="009B0E16" w:rsidRPr="00F12490" w14:paraId="3C3FEF10" w14:textId="77777777" w:rsidTr="00D745F3">
        <w:tc>
          <w:tcPr>
            <w:tcW w:w="922" w:type="dxa"/>
          </w:tcPr>
          <w:p w14:paraId="7158FDA8" w14:textId="77777777" w:rsidR="009B0E16" w:rsidRPr="00F12490" w:rsidRDefault="009B0E16" w:rsidP="001C37B4">
            <w:pPr>
              <w:pStyle w:val="ListParagraph"/>
              <w:spacing w:after="60" w:line="240" w:lineRule="auto"/>
              <w:ind w:left="0"/>
              <w:jc w:val="left"/>
            </w:pPr>
          </w:p>
        </w:tc>
        <w:tc>
          <w:tcPr>
            <w:tcW w:w="922" w:type="dxa"/>
          </w:tcPr>
          <w:p w14:paraId="0DFA17A2" w14:textId="64FDA2BC" w:rsidR="009B0E16" w:rsidRPr="00F12490" w:rsidRDefault="009B0E16" w:rsidP="00700B39">
            <w:pPr>
              <w:pStyle w:val="ListParagraph"/>
              <w:numPr>
                <w:ilvl w:val="0"/>
                <w:numId w:val="4"/>
              </w:numPr>
              <w:spacing w:after="60" w:line="240" w:lineRule="auto"/>
              <w:jc w:val="left"/>
            </w:pPr>
          </w:p>
        </w:tc>
        <w:tc>
          <w:tcPr>
            <w:tcW w:w="8363" w:type="dxa"/>
          </w:tcPr>
          <w:p w14:paraId="4E696476" w14:textId="2F7C544D"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 xml:space="preserve">The </w:t>
            </w:r>
            <w:r w:rsidR="00402031" w:rsidRPr="00F12490">
              <w:rPr>
                <w:rFonts w:ascii="Cambria" w:hAnsi="Cambria"/>
                <w:noProof w:val="0"/>
              </w:rPr>
              <w:t>building manager</w:t>
            </w:r>
            <w:r w:rsidRPr="00F12490">
              <w:rPr>
                <w:rFonts w:ascii="Cambria" w:hAnsi="Cambria"/>
                <w:noProof w:val="0"/>
              </w:rPr>
              <w:t xml:space="preserve"> will make sure that all escape routes (hallways, corridors, stairwells, doors, special emergency openings, gates, etc.) are in good working order and can be used safely whenever residents or visitors are in the building.  This requirement refers to keeping passageways free, ensuring that there is proper lighting and signs, and the like.</w:t>
            </w:r>
          </w:p>
        </w:tc>
      </w:tr>
      <w:tr w:rsidR="009B0E16" w:rsidRPr="00F12490" w14:paraId="7511B4F6" w14:textId="77777777" w:rsidTr="00D745F3">
        <w:tc>
          <w:tcPr>
            <w:tcW w:w="922" w:type="dxa"/>
          </w:tcPr>
          <w:p w14:paraId="088B59B8" w14:textId="77777777" w:rsidR="009B0E16" w:rsidRPr="00F12490" w:rsidRDefault="009B0E16" w:rsidP="001C37B4">
            <w:pPr>
              <w:pStyle w:val="ListParagraph"/>
              <w:spacing w:after="60" w:line="240" w:lineRule="auto"/>
              <w:ind w:left="0"/>
              <w:jc w:val="left"/>
            </w:pPr>
          </w:p>
        </w:tc>
        <w:tc>
          <w:tcPr>
            <w:tcW w:w="922" w:type="dxa"/>
          </w:tcPr>
          <w:p w14:paraId="7BC31DBD" w14:textId="1468838C" w:rsidR="009B0E16" w:rsidRPr="00F12490" w:rsidRDefault="009B0E16" w:rsidP="00700B39">
            <w:pPr>
              <w:pStyle w:val="ListParagraph"/>
              <w:numPr>
                <w:ilvl w:val="0"/>
                <w:numId w:val="4"/>
              </w:numPr>
              <w:spacing w:after="60" w:line="240" w:lineRule="auto"/>
              <w:jc w:val="left"/>
            </w:pPr>
          </w:p>
        </w:tc>
        <w:tc>
          <w:tcPr>
            <w:tcW w:w="8363" w:type="dxa"/>
          </w:tcPr>
          <w:p w14:paraId="0758CF34" w14:textId="4D6DA9FD"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 xml:space="preserve">Along escape routes and above exit gates whose purpose and location may not be clear, the </w:t>
            </w:r>
            <w:r w:rsidR="00402031" w:rsidRPr="00F12490">
              <w:rPr>
                <w:rFonts w:ascii="Cambria" w:hAnsi="Cambria"/>
                <w:noProof w:val="0"/>
              </w:rPr>
              <w:t>building manager</w:t>
            </w:r>
            <w:r w:rsidRPr="00F12490">
              <w:rPr>
                <w:rFonts w:ascii="Cambria" w:hAnsi="Cambria"/>
                <w:noProof w:val="0"/>
              </w:rPr>
              <w:t xml:space="preserve"> shall post signs that read “Exit” with an arrow to indicate the direction (as needed).  At the entrance to hallways without no exit and at locked rooms that are along or adjacent </w:t>
            </w:r>
            <w:r w:rsidRPr="00F12490">
              <w:rPr>
                <w:rFonts w:ascii="Cambria" w:hAnsi="Cambria"/>
                <w:noProof w:val="0"/>
              </w:rPr>
              <w:lastRenderedPageBreak/>
              <w:t>to escape routes, signs should be posted that say “No Exit.”</w:t>
            </w:r>
          </w:p>
        </w:tc>
      </w:tr>
      <w:tr w:rsidR="009B0E16" w:rsidRPr="00F12490" w14:paraId="28E5EBE9" w14:textId="77777777" w:rsidTr="00D745F3">
        <w:tc>
          <w:tcPr>
            <w:tcW w:w="922" w:type="dxa"/>
          </w:tcPr>
          <w:p w14:paraId="255C4892" w14:textId="220C813E" w:rsidR="00700B39" w:rsidRPr="00F12490" w:rsidRDefault="00700B39" w:rsidP="00700B39">
            <w:pPr>
              <w:pStyle w:val="ListParagraph"/>
              <w:spacing w:after="60" w:line="240" w:lineRule="auto"/>
              <w:ind w:left="0"/>
              <w:contextualSpacing w:val="0"/>
              <w:jc w:val="left"/>
            </w:pPr>
            <w:r w:rsidRPr="00F12490">
              <w:lastRenderedPageBreak/>
              <w:t xml:space="preserve">Safety measures when gathering in the building </w:t>
            </w:r>
          </w:p>
          <w:p w14:paraId="7BAF6FFF" w14:textId="7E9BBE78" w:rsidR="009B0E16" w:rsidRPr="00F12490" w:rsidRDefault="009B0E16" w:rsidP="00700B39">
            <w:pPr>
              <w:pStyle w:val="ListParagraph"/>
              <w:spacing w:after="60" w:line="240" w:lineRule="auto"/>
              <w:ind w:left="0"/>
              <w:jc w:val="left"/>
            </w:pPr>
          </w:p>
        </w:tc>
        <w:tc>
          <w:tcPr>
            <w:tcW w:w="922" w:type="dxa"/>
          </w:tcPr>
          <w:p w14:paraId="43582E9D" w14:textId="0B5CA194" w:rsidR="009B0E16" w:rsidRPr="00F12490" w:rsidRDefault="009B0E16" w:rsidP="00700B39">
            <w:pPr>
              <w:pStyle w:val="ListParagraph"/>
              <w:numPr>
                <w:ilvl w:val="0"/>
                <w:numId w:val="4"/>
              </w:numPr>
              <w:spacing w:after="60" w:line="240" w:lineRule="auto"/>
              <w:jc w:val="left"/>
            </w:pPr>
          </w:p>
        </w:tc>
        <w:tc>
          <w:tcPr>
            <w:tcW w:w="8363" w:type="dxa"/>
          </w:tcPr>
          <w:p w14:paraId="75117AA1" w14:textId="7BCC4E7A"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A meeting, presentation, public party or any other form of gathering where there are 20 or more participants may take place only in halls that are designated for this, or in locations that have been approved for this on a one-time basis by the University Administration.</w:t>
            </w:r>
          </w:p>
          <w:p w14:paraId="35C3EF21" w14:textId="3979C94F" w:rsidR="009B0E16" w:rsidRPr="00F12490" w:rsidRDefault="00402031" w:rsidP="00402031">
            <w:pPr>
              <w:pStyle w:val="BodyTextIndent3"/>
              <w:rPr>
                <w:noProof w:val="0"/>
              </w:rPr>
            </w:pPr>
            <w:r w:rsidRPr="00F12490">
              <w:rPr>
                <w:noProof w:val="0"/>
              </w:rPr>
              <w:t>7.1</w:t>
            </w:r>
            <w:r w:rsidRPr="00F12490">
              <w:rPr>
                <w:noProof w:val="0"/>
              </w:rPr>
              <w:tab/>
            </w:r>
            <w:r w:rsidR="009B0E16" w:rsidRPr="00F12490">
              <w:rPr>
                <w:noProof w:val="0"/>
              </w:rPr>
              <w:t>Such gatherings will not be permitted under any circumstances in hallways, corridors, or other building areas that serve as escape routes.  Holding gatherings on a roof or balcony that is higher than 2.0 meters above ground level will be permitted only under explicit conditions that these have standard railings (in terms of height, strength and spacing between them) that are properly maintained.</w:t>
            </w:r>
          </w:p>
          <w:p w14:paraId="1EFA0E49" w14:textId="1E06A344" w:rsidR="009B0E16" w:rsidRPr="00F12490" w:rsidRDefault="00402031" w:rsidP="00402031">
            <w:pPr>
              <w:bidi w:val="0"/>
              <w:spacing w:after="120" w:line="276" w:lineRule="auto"/>
              <w:ind w:left="1080" w:hanging="710"/>
              <w:rPr>
                <w:rFonts w:ascii="Cambria" w:hAnsi="Cambria"/>
                <w:noProof w:val="0"/>
              </w:rPr>
            </w:pPr>
            <w:r w:rsidRPr="00F12490">
              <w:rPr>
                <w:rFonts w:ascii="Cambria" w:hAnsi="Cambria"/>
                <w:noProof w:val="0"/>
              </w:rPr>
              <w:t>7.2</w:t>
            </w:r>
            <w:r w:rsidRPr="00F12490">
              <w:rPr>
                <w:rFonts w:ascii="Cambria" w:hAnsi="Cambria"/>
                <w:noProof w:val="0"/>
              </w:rPr>
              <w:tab/>
            </w:r>
            <w:r w:rsidR="009B0E16" w:rsidRPr="00F12490">
              <w:rPr>
                <w:rFonts w:ascii="Cambria" w:hAnsi="Cambria"/>
                <w:noProof w:val="0"/>
              </w:rPr>
              <w:t xml:space="preserve">During gatherings, all doors (regular and emergency doors) will be </w:t>
            </w:r>
            <w:r w:rsidR="009B0E16" w:rsidRPr="00F12490">
              <w:rPr>
                <w:rFonts w:ascii="Cambria" w:hAnsi="Cambria"/>
                <w:noProof w:val="0"/>
                <w:u w:val="single"/>
              </w:rPr>
              <w:t>unlocked</w:t>
            </w:r>
            <w:r w:rsidR="009B0E16" w:rsidRPr="00F12490">
              <w:rPr>
                <w:rFonts w:ascii="Cambria" w:hAnsi="Cambria"/>
                <w:noProof w:val="0"/>
              </w:rPr>
              <w:t xml:space="preserve"> from the outside and inside, and push bars on door panels must be released so that they open immediately by someone pushing on the door, without having to do any special action.</w:t>
            </w:r>
          </w:p>
          <w:p w14:paraId="2B4F691C" w14:textId="71BA812E" w:rsidR="009B0E16" w:rsidRPr="00F12490" w:rsidRDefault="00402031" w:rsidP="00402031">
            <w:pPr>
              <w:bidi w:val="0"/>
              <w:spacing w:after="120" w:line="276" w:lineRule="auto"/>
              <w:ind w:left="1080" w:hanging="710"/>
              <w:rPr>
                <w:rFonts w:ascii="Cambria" w:hAnsi="Cambria"/>
                <w:noProof w:val="0"/>
              </w:rPr>
            </w:pPr>
            <w:r w:rsidRPr="00F12490">
              <w:rPr>
                <w:rFonts w:ascii="Cambria" w:hAnsi="Cambria"/>
                <w:noProof w:val="0"/>
              </w:rPr>
              <w:t>7.3</w:t>
            </w:r>
            <w:r w:rsidRPr="00F12490">
              <w:rPr>
                <w:rFonts w:ascii="Cambria" w:hAnsi="Cambria"/>
                <w:noProof w:val="0"/>
              </w:rPr>
              <w:tab/>
            </w:r>
            <w:r w:rsidR="009B0E16" w:rsidRPr="00F12490">
              <w:rPr>
                <w:rFonts w:ascii="Cambria" w:hAnsi="Cambria"/>
                <w:noProof w:val="0"/>
              </w:rPr>
              <w:t xml:space="preserve">Gatherings </w:t>
            </w:r>
            <w:r w:rsidRPr="00F12490">
              <w:rPr>
                <w:rFonts w:ascii="Cambria" w:hAnsi="Cambria"/>
                <w:noProof w:val="0"/>
              </w:rPr>
              <w:t xml:space="preserve">for more than </w:t>
            </w:r>
            <w:r w:rsidR="009B0E16" w:rsidRPr="00F12490">
              <w:rPr>
                <w:rFonts w:ascii="Cambria" w:hAnsi="Cambria"/>
                <w:noProof w:val="0"/>
              </w:rPr>
              <w:t xml:space="preserve">100 people will be permitted only in auditoriums designated for this, </w:t>
            </w:r>
            <w:r w:rsidRPr="00F12490">
              <w:rPr>
                <w:rFonts w:ascii="Cambria" w:hAnsi="Cambria"/>
                <w:noProof w:val="0"/>
              </w:rPr>
              <w:t xml:space="preserve">that are </w:t>
            </w:r>
            <w:r w:rsidR="009B0E16" w:rsidRPr="00F12490">
              <w:rPr>
                <w:rFonts w:ascii="Cambria" w:hAnsi="Cambria"/>
                <w:noProof w:val="0"/>
              </w:rPr>
              <w:t>equipped with permanent orientation lights that are properly maintained.</w:t>
            </w:r>
          </w:p>
          <w:p w14:paraId="29011095" w14:textId="1D75D32F" w:rsidR="009B0E16" w:rsidRPr="00F12490" w:rsidRDefault="00402031" w:rsidP="00402031">
            <w:pPr>
              <w:bidi w:val="0"/>
              <w:spacing w:after="120" w:line="276" w:lineRule="auto"/>
              <w:ind w:left="1080" w:hanging="711"/>
              <w:rPr>
                <w:rFonts w:ascii="Cambria" w:hAnsi="Cambria"/>
                <w:noProof w:val="0"/>
              </w:rPr>
            </w:pPr>
            <w:r w:rsidRPr="00F12490">
              <w:rPr>
                <w:rFonts w:ascii="Cambria" w:hAnsi="Cambria"/>
                <w:noProof w:val="0"/>
              </w:rPr>
              <w:t>7.4</w:t>
            </w:r>
            <w:r w:rsidRPr="00F12490">
              <w:rPr>
                <w:rFonts w:ascii="Cambria" w:hAnsi="Cambria"/>
                <w:noProof w:val="0"/>
              </w:rPr>
              <w:tab/>
            </w:r>
            <w:r w:rsidR="009B0E16" w:rsidRPr="00F12490">
              <w:rPr>
                <w:rFonts w:ascii="Cambria" w:hAnsi="Cambria"/>
                <w:noProof w:val="0"/>
              </w:rPr>
              <w:t>Gatherings that are for invited guests (not from among University employees or students) of more than 50 people may be held only with “ushers” who are very familiar with the location and its environs.  The number of ushers must not be less than one per 100 persons, up to the first 400 attendees.</w:t>
            </w:r>
          </w:p>
        </w:tc>
      </w:tr>
      <w:tr w:rsidR="009B0E16" w:rsidRPr="00F12490" w14:paraId="29A57094" w14:textId="77777777" w:rsidTr="00D745F3">
        <w:tc>
          <w:tcPr>
            <w:tcW w:w="922" w:type="dxa"/>
          </w:tcPr>
          <w:p w14:paraId="54C6FE84" w14:textId="77777777" w:rsidR="00700B39" w:rsidRPr="00F12490" w:rsidRDefault="00700B39" w:rsidP="00700B39">
            <w:pPr>
              <w:pStyle w:val="ListParagraph"/>
              <w:spacing w:after="60" w:line="240" w:lineRule="auto"/>
              <w:ind w:left="0"/>
              <w:contextualSpacing w:val="0"/>
              <w:jc w:val="left"/>
            </w:pPr>
            <w:r w:rsidRPr="00F12490">
              <w:t>Fire safety</w:t>
            </w:r>
          </w:p>
          <w:p w14:paraId="62B315EA" w14:textId="77777777" w:rsidR="009B0E16" w:rsidRPr="00F12490" w:rsidRDefault="009B0E16" w:rsidP="001C37B4">
            <w:pPr>
              <w:pStyle w:val="ListParagraph"/>
              <w:spacing w:after="60" w:line="240" w:lineRule="auto"/>
              <w:ind w:left="0"/>
              <w:jc w:val="left"/>
            </w:pPr>
          </w:p>
        </w:tc>
        <w:tc>
          <w:tcPr>
            <w:tcW w:w="922" w:type="dxa"/>
          </w:tcPr>
          <w:p w14:paraId="179823F0" w14:textId="580569A7" w:rsidR="009B0E16" w:rsidRPr="00F12490" w:rsidRDefault="009B0E16" w:rsidP="00700B39">
            <w:pPr>
              <w:pStyle w:val="ListParagraph"/>
              <w:numPr>
                <w:ilvl w:val="0"/>
                <w:numId w:val="4"/>
              </w:numPr>
              <w:spacing w:after="60" w:line="240" w:lineRule="auto"/>
              <w:jc w:val="left"/>
            </w:pPr>
          </w:p>
        </w:tc>
        <w:tc>
          <w:tcPr>
            <w:tcW w:w="8363" w:type="dxa"/>
          </w:tcPr>
          <w:p w14:paraId="42A75CF1" w14:textId="6761E9CB"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Building managers must ensure that the central emergency lighting system, or single orientation lights, are working properly by testing them at least once a week.</w:t>
            </w:r>
          </w:p>
        </w:tc>
      </w:tr>
      <w:tr w:rsidR="009B0E16" w:rsidRPr="00F12490" w14:paraId="3BF1703E" w14:textId="77777777" w:rsidTr="00D745F3">
        <w:tc>
          <w:tcPr>
            <w:tcW w:w="922" w:type="dxa"/>
          </w:tcPr>
          <w:p w14:paraId="6329DCB8" w14:textId="77777777" w:rsidR="009B0E16" w:rsidRPr="00F12490" w:rsidRDefault="009B0E16" w:rsidP="001C37B4">
            <w:pPr>
              <w:pStyle w:val="ListParagraph"/>
              <w:spacing w:after="60" w:line="240" w:lineRule="auto"/>
              <w:ind w:left="0"/>
              <w:jc w:val="left"/>
            </w:pPr>
          </w:p>
        </w:tc>
        <w:tc>
          <w:tcPr>
            <w:tcW w:w="922" w:type="dxa"/>
          </w:tcPr>
          <w:p w14:paraId="4ADCAE3D" w14:textId="1F783F87" w:rsidR="009B0E16" w:rsidRPr="00F12490" w:rsidRDefault="009B0E16" w:rsidP="00700B39">
            <w:pPr>
              <w:pStyle w:val="ListParagraph"/>
              <w:numPr>
                <w:ilvl w:val="0"/>
                <w:numId w:val="4"/>
              </w:numPr>
              <w:spacing w:after="60" w:line="240" w:lineRule="auto"/>
              <w:jc w:val="left"/>
            </w:pPr>
          </w:p>
        </w:tc>
        <w:tc>
          <w:tcPr>
            <w:tcW w:w="8363" w:type="dxa"/>
          </w:tcPr>
          <w:p w14:paraId="0F153726" w14:textId="4296544C" w:rsidR="009B0E16" w:rsidRPr="00F12490" w:rsidRDefault="009B0E16" w:rsidP="005037AC">
            <w:pPr>
              <w:bidi w:val="0"/>
              <w:spacing w:after="120" w:line="276" w:lineRule="auto"/>
              <w:ind w:left="360"/>
              <w:rPr>
                <w:rFonts w:ascii="Cambria" w:hAnsi="Cambria"/>
                <w:noProof w:val="0"/>
              </w:rPr>
            </w:pPr>
            <w:r w:rsidRPr="00F12490">
              <w:rPr>
                <w:rFonts w:ascii="Cambria" w:hAnsi="Cambria"/>
                <w:noProof w:val="0"/>
              </w:rPr>
              <w:t xml:space="preserve">Building managers should be very familiar with the </w:t>
            </w:r>
            <w:r w:rsidR="005037AC" w:rsidRPr="00F12490">
              <w:rPr>
                <w:rFonts w:ascii="Cambria" w:hAnsi="Cambria"/>
                <w:noProof w:val="0"/>
              </w:rPr>
              <w:t xml:space="preserve">fire </w:t>
            </w:r>
            <w:r w:rsidRPr="00F12490">
              <w:rPr>
                <w:rFonts w:ascii="Cambria" w:hAnsi="Cambria"/>
                <w:noProof w:val="0"/>
              </w:rPr>
              <w:t>detecti</w:t>
            </w:r>
            <w:r w:rsidR="005037AC" w:rsidRPr="00F12490">
              <w:rPr>
                <w:rFonts w:ascii="Cambria" w:hAnsi="Cambria"/>
                <w:noProof w:val="0"/>
              </w:rPr>
              <w:t>on</w:t>
            </w:r>
            <w:r w:rsidRPr="00F12490">
              <w:rPr>
                <w:rFonts w:ascii="Cambria" w:hAnsi="Cambria"/>
                <w:noProof w:val="0"/>
              </w:rPr>
              <w:t xml:space="preserve"> and extinguishing </w:t>
            </w:r>
            <w:r w:rsidR="005037AC" w:rsidRPr="00F12490">
              <w:rPr>
                <w:rFonts w:ascii="Cambria" w:hAnsi="Cambria"/>
                <w:noProof w:val="0"/>
              </w:rPr>
              <w:t xml:space="preserve">equipment </w:t>
            </w:r>
            <w:r w:rsidRPr="00F12490">
              <w:rPr>
                <w:rFonts w:ascii="Cambria" w:hAnsi="Cambria"/>
                <w:noProof w:val="0"/>
              </w:rPr>
              <w:t xml:space="preserve">in the buildings, and must know </w:t>
            </w:r>
            <w:r w:rsidR="005037AC" w:rsidRPr="00F12490">
              <w:rPr>
                <w:rFonts w:ascii="Cambria" w:hAnsi="Cambria"/>
                <w:noProof w:val="0"/>
              </w:rPr>
              <w:t xml:space="preserve">how </w:t>
            </w:r>
            <w:r w:rsidRPr="00F12490">
              <w:rPr>
                <w:rFonts w:ascii="Cambria" w:hAnsi="Cambria"/>
                <w:noProof w:val="0"/>
              </w:rPr>
              <w:t>to test and operate them.</w:t>
            </w:r>
          </w:p>
        </w:tc>
      </w:tr>
      <w:tr w:rsidR="009B0E16" w:rsidRPr="00F12490" w14:paraId="0EF31833" w14:textId="77777777" w:rsidTr="00D745F3">
        <w:tc>
          <w:tcPr>
            <w:tcW w:w="922" w:type="dxa"/>
          </w:tcPr>
          <w:p w14:paraId="0F392CCC" w14:textId="77777777" w:rsidR="009B0E16" w:rsidRPr="00F12490" w:rsidRDefault="009B0E16" w:rsidP="001C37B4">
            <w:pPr>
              <w:pStyle w:val="ListParagraph"/>
              <w:spacing w:after="60" w:line="240" w:lineRule="auto"/>
              <w:ind w:left="0"/>
              <w:jc w:val="left"/>
            </w:pPr>
          </w:p>
        </w:tc>
        <w:tc>
          <w:tcPr>
            <w:tcW w:w="922" w:type="dxa"/>
          </w:tcPr>
          <w:p w14:paraId="386BC048" w14:textId="28563B99" w:rsidR="009B0E16" w:rsidRPr="00F12490" w:rsidRDefault="009B0E16" w:rsidP="00700B39">
            <w:pPr>
              <w:pStyle w:val="ListParagraph"/>
              <w:numPr>
                <w:ilvl w:val="0"/>
                <w:numId w:val="4"/>
              </w:numPr>
              <w:spacing w:after="60" w:line="240" w:lineRule="auto"/>
              <w:jc w:val="left"/>
            </w:pPr>
          </w:p>
        </w:tc>
        <w:tc>
          <w:tcPr>
            <w:tcW w:w="8363" w:type="dxa"/>
          </w:tcPr>
          <w:p w14:paraId="18BC681E" w14:textId="07957BC0" w:rsidR="009B0E16" w:rsidRPr="00F12490" w:rsidRDefault="009B0E16" w:rsidP="00C440F1">
            <w:pPr>
              <w:bidi w:val="0"/>
              <w:spacing w:after="120" w:line="276" w:lineRule="auto"/>
              <w:ind w:left="360"/>
              <w:rPr>
                <w:rFonts w:ascii="Cambria" w:hAnsi="Cambria"/>
                <w:noProof w:val="0"/>
              </w:rPr>
            </w:pPr>
            <w:r w:rsidRPr="00F12490">
              <w:rPr>
                <w:rFonts w:ascii="Cambria" w:hAnsi="Cambria"/>
                <w:noProof w:val="0"/>
              </w:rPr>
              <w:t xml:space="preserve">After using fire detection or </w:t>
            </w:r>
            <w:r w:rsidR="00C440F1" w:rsidRPr="00F12490">
              <w:rPr>
                <w:rFonts w:ascii="Cambria" w:hAnsi="Cambria"/>
                <w:noProof w:val="0"/>
              </w:rPr>
              <w:t>extinguishing</w:t>
            </w:r>
            <w:r w:rsidRPr="00F12490">
              <w:rPr>
                <w:rFonts w:ascii="Cambria" w:hAnsi="Cambria"/>
                <w:noProof w:val="0"/>
              </w:rPr>
              <w:t xml:space="preserve"> equipment, building managers must be certain to replace these immediately.</w:t>
            </w:r>
          </w:p>
        </w:tc>
      </w:tr>
      <w:tr w:rsidR="009B0E16" w:rsidRPr="00F12490" w14:paraId="724BD02C" w14:textId="77777777" w:rsidTr="00D745F3">
        <w:tc>
          <w:tcPr>
            <w:tcW w:w="922" w:type="dxa"/>
          </w:tcPr>
          <w:p w14:paraId="1EC9372B" w14:textId="77777777" w:rsidR="009B0E16" w:rsidRPr="00F12490" w:rsidRDefault="009B0E16" w:rsidP="001C37B4">
            <w:pPr>
              <w:pStyle w:val="ListParagraph"/>
              <w:spacing w:after="60" w:line="240" w:lineRule="auto"/>
              <w:ind w:left="0"/>
              <w:jc w:val="left"/>
            </w:pPr>
          </w:p>
        </w:tc>
        <w:tc>
          <w:tcPr>
            <w:tcW w:w="922" w:type="dxa"/>
          </w:tcPr>
          <w:p w14:paraId="1EF41314" w14:textId="00C4F3CA" w:rsidR="009B0E16" w:rsidRPr="00F12490" w:rsidRDefault="009B0E16" w:rsidP="00700B39">
            <w:pPr>
              <w:pStyle w:val="ListParagraph"/>
              <w:numPr>
                <w:ilvl w:val="0"/>
                <w:numId w:val="4"/>
              </w:numPr>
              <w:spacing w:after="60" w:line="240" w:lineRule="auto"/>
              <w:jc w:val="left"/>
            </w:pPr>
          </w:p>
        </w:tc>
        <w:tc>
          <w:tcPr>
            <w:tcW w:w="8363" w:type="dxa"/>
          </w:tcPr>
          <w:p w14:paraId="148CA2BC" w14:textId="78F7D0CE"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The building manager must ensure that flammable substances (wood furniture, papers, packing materials, combustible chemicals, etc.) and toxic substances are stored only in places designated for this, and under no circumstances should they be stored along escape routes.</w:t>
            </w:r>
          </w:p>
        </w:tc>
      </w:tr>
      <w:tr w:rsidR="009B0E16" w:rsidRPr="00F12490" w14:paraId="35BE3560" w14:textId="77777777" w:rsidTr="00D745F3">
        <w:tc>
          <w:tcPr>
            <w:tcW w:w="922" w:type="dxa"/>
          </w:tcPr>
          <w:p w14:paraId="15232812" w14:textId="77777777" w:rsidR="009B0E16" w:rsidRPr="00F12490" w:rsidRDefault="009B0E16" w:rsidP="001C37B4">
            <w:pPr>
              <w:pStyle w:val="ListParagraph"/>
              <w:spacing w:after="60" w:line="240" w:lineRule="auto"/>
              <w:ind w:left="0"/>
              <w:jc w:val="left"/>
            </w:pPr>
          </w:p>
        </w:tc>
        <w:tc>
          <w:tcPr>
            <w:tcW w:w="922" w:type="dxa"/>
          </w:tcPr>
          <w:p w14:paraId="111BCC37" w14:textId="3453FD24" w:rsidR="009B0E16" w:rsidRPr="00F12490" w:rsidRDefault="009B0E16" w:rsidP="00700B39">
            <w:pPr>
              <w:pStyle w:val="ListParagraph"/>
              <w:numPr>
                <w:ilvl w:val="0"/>
                <w:numId w:val="4"/>
              </w:numPr>
              <w:spacing w:after="60" w:line="240" w:lineRule="auto"/>
              <w:jc w:val="left"/>
            </w:pPr>
          </w:p>
        </w:tc>
        <w:tc>
          <w:tcPr>
            <w:tcW w:w="8363" w:type="dxa"/>
          </w:tcPr>
          <w:p w14:paraId="72760C2E" w14:textId="29273549"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If a building manager finds motorized equipment operating in a laboratory unsupervised, the building manager should turn it off unless there is a sign posted there saying “Do Not Switch Off – Do Not Unplug.”</w:t>
            </w:r>
          </w:p>
        </w:tc>
      </w:tr>
      <w:tr w:rsidR="009B0E16" w:rsidRPr="00F12490" w14:paraId="6C551EDA" w14:textId="77777777" w:rsidTr="00D745F3">
        <w:tc>
          <w:tcPr>
            <w:tcW w:w="922" w:type="dxa"/>
          </w:tcPr>
          <w:p w14:paraId="576AB94F" w14:textId="77777777" w:rsidR="009B0E16" w:rsidRPr="00F12490" w:rsidRDefault="009B0E16" w:rsidP="001C37B4">
            <w:pPr>
              <w:pStyle w:val="ListParagraph"/>
              <w:spacing w:after="60" w:line="240" w:lineRule="auto"/>
              <w:ind w:left="0"/>
              <w:jc w:val="left"/>
            </w:pPr>
          </w:p>
        </w:tc>
        <w:tc>
          <w:tcPr>
            <w:tcW w:w="922" w:type="dxa"/>
          </w:tcPr>
          <w:p w14:paraId="0D0F7F76" w14:textId="5DB081A7" w:rsidR="009B0E16" w:rsidRPr="00F12490" w:rsidRDefault="009B0E16" w:rsidP="00700B39">
            <w:pPr>
              <w:pStyle w:val="ListParagraph"/>
              <w:numPr>
                <w:ilvl w:val="0"/>
                <w:numId w:val="4"/>
              </w:numPr>
              <w:spacing w:after="60" w:line="240" w:lineRule="auto"/>
              <w:jc w:val="left"/>
            </w:pPr>
          </w:p>
        </w:tc>
        <w:tc>
          <w:tcPr>
            <w:tcW w:w="8363" w:type="dxa"/>
          </w:tcPr>
          <w:p w14:paraId="269990CF" w14:textId="1BB38A63"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The building manager may stop, at his own discretion, any work or other activity that is being carried out along or near escape routes, if he considers these to be a hazard to the public or to property.</w:t>
            </w:r>
          </w:p>
        </w:tc>
      </w:tr>
      <w:tr w:rsidR="009B0E16" w:rsidRPr="00F12490" w14:paraId="611E4900" w14:textId="77777777" w:rsidTr="00D745F3">
        <w:tc>
          <w:tcPr>
            <w:tcW w:w="922" w:type="dxa"/>
          </w:tcPr>
          <w:p w14:paraId="7DA929AB" w14:textId="77777777" w:rsidR="009B0E16" w:rsidRPr="00F12490" w:rsidRDefault="009B0E16" w:rsidP="001C37B4">
            <w:pPr>
              <w:pStyle w:val="ListParagraph"/>
              <w:spacing w:after="60" w:line="240" w:lineRule="auto"/>
              <w:ind w:left="0"/>
              <w:jc w:val="left"/>
            </w:pPr>
          </w:p>
        </w:tc>
        <w:tc>
          <w:tcPr>
            <w:tcW w:w="922" w:type="dxa"/>
          </w:tcPr>
          <w:p w14:paraId="4C5C10D0" w14:textId="478CBFDC" w:rsidR="009B0E16" w:rsidRPr="00F12490" w:rsidRDefault="009B0E16" w:rsidP="00700B39">
            <w:pPr>
              <w:pStyle w:val="ListParagraph"/>
              <w:numPr>
                <w:ilvl w:val="0"/>
                <w:numId w:val="4"/>
              </w:numPr>
              <w:spacing w:after="60" w:line="240" w:lineRule="auto"/>
              <w:jc w:val="left"/>
            </w:pPr>
          </w:p>
        </w:tc>
        <w:tc>
          <w:tcPr>
            <w:tcW w:w="8363" w:type="dxa"/>
          </w:tcPr>
          <w:p w14:paraId="02FDE3F1" w14:textId="780D49E6"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The building manager must always be prepared to lead any emergency activity (extinguishing fires, evacuating, rescuing those who are trapped, etc.) until the arrival of special professionals that he has called with maximum speed and efficiency.</w:t>
            </w:r>
          </w:p>
        </w:tc>
      </w:tr>
      <w:tr w:rsidR="009B0E16" w:rsidRPr="00F12490" w14:paraId="11AB9162" w14:textId="77777777" w:rsidTr="00D745F3">
        <w:tc>
          <w:tcPr>
            <w:tcW w:w="922" w:type="dxa"/>
          </w:tcPr>
          <w:p w14:paraId="6DFABF60" w14:textId="77777777" w:rsidR="009B0E16" w:rsidRPr="00F12490" w:rsidRDefault="009B0E16" w:rsidP="001C37B4">
            <w:pPr>
              <w:pStyle w:val="ListParagraph"/>
              <w:spacing w:after="60" w:line="240" w:lineRule="auto"/>
              <w:ind w:left="0"/>
              <w:jc w:val="left"/>
            </w:pPr>
          </w:p>
        </w:tc>
        <w:tc>
          <w:tcPr>
            <w:tcW w:w="922" w:type="dxa"/>
          </w:tcPr>
          <w:p w14:paraId="5D287CD0" w14:textId="4B614757" w:rsidR="009B0E16" w:rsidRPr="00F12490" w:rsidRDefault="009B0E16" w:rsidP="00700B39">
            <w:pPr>
              <w:pStyle w:val="ListParagraph"/>
              <w:numPr>
                <w:ilvl w:val="0"/>
                <w:numId w:val="4"/>
              </w:numPr>
              <w:spacing w:after="60" w:line="240" w:lineRule="auto"/>
              <w:jc w:val="left"/>
            </w:pPr>
          </w:p>
        </w:tc>
        <w:tc>
          <w:tcPr>
            <w:tcW w:w="8363" w:type="dxa"/>
          </w:tcPr>
          <w:p w14:paraId="75492208" w14:textId="7767FEB7"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The building manager must ensure that in his absence, all of these instructions are carried out as written by his deputy.</w:t>
            </w:r>
          </w:p>
        </w:tc>
      </w:tr>
      <w:tr w:rsidR="009B0E16" w:rsidRPr="00F12490" w14:paraId="3527E160" w14:textId="77777777" w:rsidTr="00D745F3">
        <w:tc>
          <w:tcPr>
            <w:tcW w:w="922" w:type="dxa"/>
          </w:tcPr>
          <w:p w14:paraId="4905900C" w14:textId="77777777" w:rsidR="00700B39" w:rsidRPr="00F12490" w:rsidRDefault="00700B39" w:rsidP="00700B39">
            <w:pPr>
              <w:pStyle w:val="ListParagraph"/>
              <w:spacing w:after="60" w:line="240" w:lineRule="auto"/>
              <w:ind w:left="0"/>
              <w:contextualSpacing w:val="0"/>
              <w:jc w:val="left"/>
            </w:pPr>
            <w:r w:rsidRPr="00F12490">
              <w:t>Hazardous materials</w:t>
            </w:r>
          </w:p>
          <w:p w14:paraId="64B69439" w14:textId="77777777" w:rsidR="009B0E16" w:rsidRPr="00F12490" w:rsidRDefault="009B0E16" w:rsidP="001C37B4">
            <w:pPr>
              <w:pStyle w:val="ListParagraph"/>
              <w:spacing w:after="60" w:line="240" w:lineRule="auto"/>
              <w:ind w:left="0"/>
              <w:jc w:val="left"/>
            </w:pPr>
          </w:p>
        </w:tc>
        <w:tc>
          <w:tcPr>
            <w:tcW w:w="922" w:type="dxa"/>
          </w:tcPr>
          <w:p w14:paraId="0ED6B8DC" w14:textId="08A95F38" w:rsidR="009B0E16" w:rsidRPr="00F12490" w:rsidRDefault="009B0E16" w:rsidP="00700B39">
            <w:pPr>
              <w:pStyle w:val="ListParagraph"/>
              <w:numPr>
                <w:ilvl w:val="0"/>
                <w:numId w:val="4"/>
              </w:numPr>
              <w:spacing w:after="60" w:line="240" w:lineRule="auto"/>
              <w:jc w:val="left"/>
            </w:pPr>
          </w:p>
        </w:tc>
        <w:tc>
          <w:tcPr>
            <w:tcW w:w="8363" w:type="dxa"/>
          </w:tcPr>
          <w:p w14:paraId="5E7E7A54" w14:textId="3E7BE211" w:rsidR="009B0E16" w:rsidRPr="00F12490" w:rsidRDefault="009B0E16" w:rsidP="00130ED8">
            <w:pPr>
              <w:bidi w:val="0"/>
              <w:spacing w:after="120" w:line="276" w:lineRule="auto"/>
              <w:ind w:left="360"/>
              <w:rPr>
                <w:rFonts w:ascii="Cambria" w:hAnsi="Cambria"/>
                <w:noProof w:val="0"/>
              </w:rPr>
            </w:pPr>
            <w:r w:rsidRPr="00F12490">
              <w:rPr>
                <w:rFonts w:ascii="Cambria" w:hAnsi="Cambria"/>
                <w:noProof w:val="0"/>
              </w:rPr>
              <w:t>The building manager will ascertain that hazardous materials found in the building (</w:t>
            </w:r>
            <w:r w:rsidR="00130ED8" w:rsidRPr="00F12490">
              <w:rPr>
                <w:rFonts w:ascii="Cambria" w:hAnsi="Cambria"/>
                <w:noProof w:val="0"/>
              </w:rPr>
              <w:t xml:space="preserve">radioactive, chemical and </w:t>
            </w:r>
            <w:r w:rsidRPr="00F12490">
              <w:rPr>
                <w:rFonts w:ascii="Cambria" w:hAnsi="Cambria"/>
                <w:noProof w:val="0"/>
              </w:rPr>
              <w:t>biological) are stored and secured in a manner such that no unauthorized entity can remove them from the building.</w:t>
            </w:r>
          </w:p>
        </w:tc>
      </w:tr>
      <w:tr w:rsidR="009B0E16" w:rsidRPr="00F12490" w14:paraId="101FEA85" w14:textId="77777777" w:rsidTr="00D745F3">
        <w:tc>
          <w:tcPr>
            <w:tcW w:w="922" w:type="dxa"/>
          </w:tcPr>
          <w:p w14:paraId="41C0487B" w14:textId="77777777" w:rsidR="009B0E16" w:rsidRPr="00F12490" w:rsidRDefault="009B0E16" w:rsidP="001C37B4">
            <w:pPr>
              <w:pStyle w:val="ListParagraph"/>
              <w:spacing w:after="60" w:line="240" w:lineRule="auto"/>
              <w:ind w:left="0"/>
              <w:jc w:val="left"/>
            </w:pPr>
          </w:p>
        </w:tc>
        <w:tc>
          <w:tcPr>
            <w:tcW w:w="922" w:type="dxa"/>
          </w:tcPr>
          <w:p w14:paraId="3A35D353" w14:textId="1863A511" w:rsidR="009B0E16" w:rsidRPr="00F12490" w:rsidRDefault="009B0E16" w:rsidP="00700B39">
            <w:pPr>
              <w:pStyle w:val="ListParagraph"/>
              <w:numPr>
                <w:ilvl w:val="0"/>
                <w:numId w:val="4"/>
              </w:numPr>
              <w:spacing w:after="60" w:line="240" w:lineRule="auto"/>
              <w:jc w:val="left"/>
            </w:pPr>
          </w:p>
        </w:tc>
        <w:tc>
          <w:tcPr>
            <w:tcW w:w="8363" w:type="dxa"/>
          </w:tcPr>
          <w:p w14:paraId="3DF8E2C1" w14:textId="6187D7D6" w:rsidR="009B0E16" w:rsidRPr="00F12490" w:rsidRDefault="009B0E16" w:rsidP="00700B39">
            <w:pPr>
              <w:bidi w:val="0"/>
              <w:spacing w:after="120" w:line="276" w:lineRule="auto"/>
              <w:ind w:left="360"/>
              <w:rPr>
                <w:rFonts w:ascii="Cambria" w:hAnsi="Cambria"/>
                <w:noProof w:val="0"/>
              </w:rPr>
            </w:pPr>
            <w:r w:rsidRPr="00F12490">
              <w:rPr>
                <w:rFonts w:ascii="Cambria" w:hAnsi="Cambria"/>
                <w:noProof w:val="0"/>
              </w:rPr>
              <w:t>The building manager will report to the Head of the Unit and/or his representative, and to the University’s safety supervisor, of any incident (fires, accidents, safety malfunctions in equipment, disappearance of hazardous materials, etc.) relating to safety, to allow for drawing conclusions and taking steps to prevent recurrence of similar cases in the future, and for documentation purposes.</w:t>
            </w:r>
          </w:p>
        </w:tc>
      </w:tr>
      <w:tr w:rsidR="009B0E16" w:rsidRPr="00F12490" w14:paraId="62B8256F" w14:textId="77777777" w:rsidTr="00D745F3">
        <w:tc>
          <w:tcPr>
            <w:tcW w:w="922" w:type="dxa"/>
          </w:tcPr>
          <w:p w14:paraId="208E9129" w14:textId="63A3F4DA" w:rsidR="009B0E16" w:rsidRPr="00F12490" w:rsidRDefault="00700B39" w:rsidP="001C37B4">
            <w:pPr>
              <w:pStyle w:val="ListParagraph"/>
              <w:spacing w:after="60" w:line="240" w:lineRule="auto"/>
              <w:ind w:left="0"/>
              <w:contextualSpacing w:val="0"/>
              <w:jc w:val="left"/>
            </w:pPr>
            <w:r w:rsidRPr="00F12490">
              <w:t>Responsible for performance</w:t>
            </w:r>
          </w:p>
        </w:tc>
        <w:tc>
          <w:tcPr>
            <w:tcW w:w="922" w:type="dxa"/>
          </w:tcPr>
          <w:p w14:paraId="792E07D0" w14:textId="34BF0E26" w:rsidR="009B0E16" w:rsidRPr="00F12490" w:rsidRDefault="009B0E16" w:rsidP="00700B39">
            <w:pPr>
              <w:pStyle w:val="ListParagraph"/>
              <w:numPr>
                <w:ilvl w:val="0"/>
                <w:numId w:val="4"/>
              </w:numPr>
              <w:spacing w:after="60" w:line="240" w:lineRule="auto"/>
              <w:contextualSpacing w:val="0"/>
              <w:jc w:val="left"/>
            </w:pPr>
          </w:p>
        </w:tc>
        <w:tc>
          <w:tcPr>
            <w:tcW w:w="8363" w:type="dxa"/>
          </w:tcPr>
          <w:p w14:paraId="209CF045" w14:textId="205926FA" w:rsidR="009B0E16" w:rsidRPr="00F12490" w:rsidRDefault="009B0E16" w:rsidP="009B2CC1">
            <w:pPr>
              <w:bidi w:val="0"/>
              <w:spacing w:after="120" w:line="276" w:lineRule="auto"/>
              <w:ind w:left="360"/>
              <w:rPr>
                <w:rFonts w:ascii="Cambria" w:hAnsi="Cambria"/>
                <w:noProof w:val="0"/>
              </w:rPr>
            </w:pPr>
            <w:r w:rsidRPr="00F12490">
              <w:rPr>
                <w:rFonts w:ascii="Cambria" w:hAnsi="Cambria"/>
                <w:noProof w:val="0"/>
              </w:rPr>
              <w:t>Building managers of the University’s buildings are responsible for performance of these</w:t>
            </w:r>
            <w:r w:rsidR="009B2CC1">
              <w:rPr>
                <w:rFonts w:ascii="Cambria" w:hAnsi="Cambria"/>
                <w:noProof w:val="0"/>
              </w:rPr>
              <w:t xml:space="preserve"> directives.</w:t>
            </w:r>
          </w:p>
          <w:p w14:paraId="75EEBC3B" w14:textId="6A92947F" w:rsidR="009B0E16" w:rsidRPr="00F12490" w:rsidRDefault="009B0E16" w:rsidP="009B2CC1">
            <w:pPr>
              <w:bidi w:val="0"/>
              <w:spacing w:after="120" w:line="276" w:lineRule="auto"/>
              <w:ind w:left="360"/>
              <w:rPr>
                <w:rFonts w:ascii="Cambria" w:hAnsi="Cambria"/>
                <w:noProof w:val="0"/>
              </w:rPr>
            </w:pPr>
            <w:r w:rsidRPr="00F12490">
              <w:rPr>
                <w:rFonts w:ascii="Cambria" w:hAnsi="Cambria"/>
                <w:noProof w:val="0"/>
              </w:rPr>
              <w:t>Unit heads initiat</w:t>
            </w:r>
            <w:r w:rsidR="009B2CC1">
              <w:rPr>
                <w:rFonts w:ascii="Cambria" w:hAnsi="Cambria"/>
                <w:noProof w:val="0"/>
              </w:rPr>
              <w:t>ing</w:t>
            </w:r>
            <w:r w:rsidRPr="00F12490">
              <w:rPr>
                <w:rFonts w:ascii="Cambria" w:hAnsi="Cambria"/>
                <w:noProof w:val="0"/>
              </w:rPr>
              <w:t xml:space="preserve"> and organiz</w:t>
            </w:r>
            <w:r w:rsidR="009B2CC1">
              <w:rPr>
                <w:rFonts w:ascii="Cambria" w:hAnsi="Cambria"/>
                <w:noProof w:val="0"/>
              </w:rPr>
              <w:t>ing</w:t>
            </w:r>
            <w:r w:rsidRPr="00F12490">
              <w:rPr>
                <w:rFonts w:ascii="Cambria" w:hAnsi="Cambria"/>
                <w:noProof w:val="0"/>
              </w:rPr>
              <w:t xml:space="preserve"> multi-participant events as stated </w:t>
            </w:r>
            <w:r w:rsidRPr="00F12490">
              <w:rPr>
                <w:rFonts w:ascii="Cambria" w:hAnsi="Cambria"/>
                <w:noProof w:val="0"/>
              </w:rPr>
              <w:lastRenderedPageBreak/>
              <w:t xml:space="preserve">in </w:t>
            </w:r>
            <w:r w:rsidR="00130ED8" w:rsidRPr="00F12490">
              <w:rPr>
                <w:rFonts w:ascii="Cambria" w:hAnsi="Cambria"/>
                <w:noProof w:val="0"/>
              </w:rPr>
              <w:t>Section</w:t>
            </w:r>
            <w:r w:rsidRPr="00F12490">
              <w:rPr>
                <w:rFonts w:ascii="Cambria" w:hAnsi="Cambria"/>
                <w:noProof w:val="0"/>
              </w:rPr>
              <w:t xml:space="preserve"> 7 are responsible for coordinating these events with the </w:t>
            </w:r>
            <w:r w:rsidR="00130ED8" w:rsidRPr="00F12490">
              <w:rPr>
                <w:rFonts w:ascii="Cambria" w:hAnsi="Cambria"/>
                <w:noProof w:val="0"/>
              </w:rPr>
              <w:t>b</w:t>
            </w:r>
            <w:r w:rsidRPr="00F12490">
              <w:rPr>
                <w:rFonts w:ascii="Cambria" w:hAnsi="Cambria"/>
                <w:noProof w:val="0"/>
              </w:rPr>
              <w:t>uilding managers.</w:t>
            </w:r>
          </w:p>
        </w:tc>
      </w:tr>
    </w:tbl>
    <w:p w14:paraId="0C916265" w14:textId="4078672D" w:rsidR="001272A6" w:rsidRPr="00F12490" w:rsidRDefault="001272A6" w:rsidP="001272A6">
      <w:pPr>
        <w:bidi w:val="0"/>
        <w:spacing w:after="120"/>
        <w:jc w:val="both"/>
        <w:rPr>
          <w:rFonts w:ascii="Cambria" w:hAnsi="Cambria"/>
          <w:noProof w:val="0"/>
        </w:rPr>
      </w:pPr>
    </w:p>
    <w:p w14:paraId="661B02CF" w14:textId="7DF44A65" w:rsidR="001272A6" w:rsidRPr="00F12490" w:rsidRDefault="001272A6" w:rsidP="001272A6">
      <w:pPr>
        <w:bidi w:val="0"/>
        <w:spacing w:after="120"/>
        <w:jc w:val="both"/>
        <w:rPr>
          <w:rFonts w:ascii="Cambria" w:hAnsi="Cambria"/>
          <w:noProof w:val="0"/>
        </w:rPr>
      </w:pPr>
    </w:p>
    <w:p w14:paraId="1FD6FD41" w14:textId="4D847D44" w:rsidR="00385862" w:rsidRPr="00F12490" w:rsidRDefault="00385862">
      <w:pPr>
        <w:bidi w:val="0"/>
        <w:rPr>
          <w:rFonts w:ascii="Cambria" w:hAnsi="Cambria"/>
          <w:noProof w:val="0"/>
        </w:rPr>
      </w:pPr>
      <w:bookmarkStart w:id="0" w:name="_GoBack"/>
      <w:bookmarkEnd w:id="0"/>
    </w:p>
    <w:sectPr w:rsidR="00385862" w:rsidRPr="00F12490">
      <w:headerReference w:type="default" r:id="rId8"/>
      <w:endnotePr>
        <w:numFmt w:val="lowerLetter"/>
      </w:endnotePr>
      <w:pgSz w:w="11906" w:h="16838"/>
      <w:pgMar w:top="3119" w:right="1418" w:bottom="209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D01CE" w14:textId="77777777" w:rsidR="00151019" w:rsidRDefault="00151019">
      <w:r>
        <w:separator/>
      </w:r>
    </w:p>
  </w:endnote>
  <w:endnote w:type="continuationSeparator" w:id="0">
    <w:p w14:paraId="396B14CD" w14:textId="77777777" w:rsidR="00151019" w:rsidRDefault="0015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3DAAC" w14:textId="77777777" w:rsidR="00151019" w:rsidRDefault="00151019">
      <w:r>
        <w:separator/>
      </w:r>
    </w:p>
  </w:footnote>
  <w:footnote w:type="continuationSeparator" w:id="0">
    <w:p w14:paraId="3E75A8CB" w14:textId="77777777" w:rsidR="00151019" w:rsidRDefault="0015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ABB63" w14:textId="77777777" w:rsidR="001272A6" w:rsidRPr="001272A6" w:rsidRDefault="001272A6" w:rsidP="001272A6">
    <w:pPr>
      <w:pStyle w:val="Header"/>
      <w:bidi w:val="0"/>
      <w:jc w:val="center"/>
      <w:rPr>
        <w:rFonts w:ascii="Cambria" w:hAnsi="Cambria"/>
        <w:b/>
        <w:bCs/>
        <w:sz w:val="28"/>
        <w:szCs w:val="28"/>
      </w:rPr>
    </w:pPr>
    <w:r w:rsidRPr="001272A6">
      <w:rPr>
        <w:rFonts w:ascii="Cambria" w:hAnsi="Cambria"/>
        <w:b/>
        <w:bCs/>
        <w:sz w:val="28"/>
        <w:szCs w:val="28"/>
      </w:rPr>
      <w:t>Tel Aviv University</w:t>
    </w:r>
  </w:p>
  <w:p w14:paraId="5DA37D4F" w14:textId="78D306C4" w:rsidR="001272A6" w:rsidRPr="00485037" w:rsidRDefault="001272A6" w:rsidP="001272A6">
    <w:pPr>
      <w:pStyle w:val="Header"/>
      <w:bidi w:val="0"/>
      <w:jc w:val="center"/>
      <w:rPr>
        <w:rFonts w:ascii="Cambria" w:hAnsi="Cambria"/>
        <w:szCs w:val="24"/>
      </w:rPr>
    </w:pPr>
    <w:r w:rsidRPr="00485037">
      <w:rPr>
        <w:rFonts w:ascii="Cambria" w:hAnsi="Cambria"/>
        <w:szCs w:val="24"/>
      </w:rPr>
      <w:t>Safety Unit</w:t>
    </w:r>
  </w:p>
  <w:p w14:paraId="640B3051" w14:textId="77777777" w:rsidR="001272A6" w:rsidRPr="00485037" w:rsidRDefault="001272A6" w:rsidP="001272A6">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1272A6" w:rsidRPr="00485037" w14:paraId="2FDC59CC" w14:textId="77777777" w:rsidTr="00545A01">
      <w:trPr>
        <w:jc w:val="center"/>
      </w:trPr>
      <w:tc>
        <w:tcPr>
          <w:tcW w:w="3046" w:type="dxa"/>
          <w:vAlign w:val="center"/>
        </w:tcPr>
        <w:p w14:paraId="1C496D7E" w14:textId="77777777" w:rsidR="001272A6" w:rsidRPr="00485037" w:rsidRDefault="001272A6" w:rsidP="001272A6">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47FA3AFD" w14:textId="77777777" w:rsidR="001272A6" w:rsidRPr="00485037" w:rsidRDefault="001272A6" w:rsidP="001272A6">
          <w:pPr>
            <w:pStyle w:val="Header"/>
            <w:bidi w:val="0"/>
            <w:rPr>
              <w:rFonts w:ascii="Cambria" w:hAnsi="Cambria"/>
              <w:b/>
              <w:bCs/>
            </w:rPr>
          </w:pPr>
        </w:p>
      </w:tc>
      <w:tc>
        <w:tcPr>
          <w:tcW w:w="1428" w:type="dxa"/>
        </w:tcPr>
        <w:p w14:paraId="65B5C8EF" w14:textId="77777777" w:rsidR="001272A6" w:rsidRPr="00485037" w:rsidRDefault="001272A6" w:rsidP="001272A6">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9B2CC1">
            <w:rPr>
              <w:rFonts w:ascii="Cambria" w:hAnsi="Cambria"/>
              <w:b/>
              <w:bCs/>
              <w:u w:val="single"/>
            </w:rPr>
            <w:t>4</w:t>
          </w:r>
          <w:r w:rsidRPr="00485037">
            <w:rPr>
              <w:rFonts w:ascii="Cambria" w:hAnsi="Cambria"/>
              <w:b/>
              <w:bCs/>
              <w:u w:val="single"/>
            </w:rPr>
            <w:fldChar w:fldCharType="end"/>
          </w:r>
        </w:p>
        <w:p w14:paraId="09EA6E8A" w14:textId="77777777" w:rsidR="001272A6" w:rsidRPr="00485037" w:rsidRDefault="001272A6" w:rsidP="001272A6">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9B2CC1">
            <w:rPr>
              <w:rFonts w:ascii="Cambria" w:hAnsi="Cambria"/>
            </w:rPr>
            <w:t>4</w:t>
          </w:r>
          <w:r w:rsidRPr="00485037">
            <w:rPr>
              <w:rFonts w:ascii="Cambria" w:hAnsi="Cambria"/>
            </w:rPr>
            <w:fldChar w:fldCharType="end"/>
          </w:r>
        </w:p>
      </w:tc>
      <w:tc>
        <w:tcPr>
          <w:tcW w:w="1931" w:type="dxa"/>
        </w:tcPr>
        <w:p w14:paraId="019F6553"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Date published</w:t>
          </w:r>
        </w:p>
        <w:p w14:paraId="5AFED5AD" w14:textId="6403DFC5" w:rsidR="001272A6" w:rsidRPr="00485037" w:rsidRDefault="001C37B4" w:rsidP="001272A6">
          <w:pPr>
            <w:pStyle w:val="Header"/>
            <w:bidi w:val="0"/>
            <w:jc w:val="center"/>
            <w:rPr>
              <w:rFonts w:ascii="Cambria" w:hAnsi="Cambria"/>
            </w:rPr>
          </w:pPr>
          <w:r>
            <w:rPr>
              <w:rFonts w:ascii="Cambria" w:hAnsi="Cambria"/>
            </w:rPr>
            <w:t>October 1, 2002</w:t>
          </w:r>
        </w:p>
      </w:tc>
      <w:tc>
        <w:tcPr>
          <w:tcW w:w="1762" w:type="dxa"/>
        </w:tcPr>
        <w:p w14:paraId="7D583459" w14:textId="77777777" w:rsidR="001272A6" w:rsidRPr="00485037" w:rsidRDefault="001272A6" w:rsidP="001272A6">
          <w:pPr>
            <w:pStyle w:val="Header"/>
            <w:bidi w:val="0"/>
            <w:jc w:val="center"/>
            <w:rPr>
              <w:rFonts w:ascii="Cambria" w:hAnsi="Cambria"/>
              <w:b/>
              <w:bCs/>
            </w:rPr>
          </w:pPr>
          <w:r w:rsidRPr="00485037">
            <w:rPr>
              <w:rFonts w:ascii="Cambria" w:hAnsi="Cambria"/>
              <w:b/>
              <w:bCs/>
              <w:u w:val="single"/>
            </w:rPr>
            <w:t>Directive No.</w:t>
          </w:r>
        </w:p>
        <w:p w14:paraId="3BDD3238" w14:textId="0B9FE27B" w:rsidR="001272A6" w:rsidRPr="00485037" w:rsidRDefault="001272A6" w:rsidP="001272A6">
          <w:pPr>
            <w:pStyle w:val="Header"/>
            <w:bidi w:val="0"/>
            <w:jc w:val="center"/>
            <w:rPr>
              <w:rFonts w:ascii="Cambria" w:hAnsi="Cambria"/>
            </w:rPr>
          </w:pPr>
          <w:r w:rsidRPr="00485037">
            <w:rPr>
              <w:rFonts w:ascii="Cambria" w:hAnsi="Cambria"/>
            </w:rPr>
            <w:t>07-3</w:t>
          </w:r>
          <w:r>
            <w:rPr>
              <w:rFonts w:ascii="Cambria" w:hAnsi="Cambria"/>
            </w:rPr>
            <w:t>1</w:t>
          </w:r>
          <w:r w:rsidR="00953122">
            <w:rPr>
              <w:rFonts w:ascii="Cambria" w:hAnsi="Cambria"/>
            </w:rPr>
            <w:t>9</w:t>
          </w:r>
        </w:p>
      </w:tc>
    </w:tr>
    <w:tr w:rsidR="001272A6" w:rsidRPr="00485037" w14:paraId="140EA1C6" w14:textId="77777777" w:rsidTr="00545A01">
      <w:trPr>
        <w:jc w:val="center"/>
      </w:trPr>
      <w:tc>
        <w:tcPr>
          <w:tcW w:w="9070" w:type="dxa"/>
          <w:gridSpan w:val="5"/>
          <w:tcBorders>
            <w:top w:val="single" w:sz="4" w:space="0" w:color="auto"/>
            <w:bottom w:val="single" w:sz="4" w:space="0" w:color="auto"/>
          </w:tcBorders>
        </w:tcPr>
        <w:p w14:paraId="336DBD94" w14:textId="77777777" w:rsidR="001272A6" w:rsidRPr="00485037" w:rsidRDefault="001272A6" w:rsidP="001272A6">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1060D597" w14:textId="77777777" w:rsidR="001272A6" w:rsidRDefault="001272A6" w:rsidP="001272A6">
    <w:pPr>
      <w:pStyle w:val="Header"/>
      <w:bidi w:val="0"/>
      <w:rPr>
        <w:szCs w:val="24"/>
        <w:rtl/>
      </w:rPr>
    </w:pPr>
  </w:p>
  <w:p w14:paraId="18DF4B1C" w14:textId="77777777" w:rsidR="001272A6" w:rsidRDefault="001272A6" w:rsidP="001272A6">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AF35CE2"/>
    <w:multiLevelType w:val="hybridMultilevel"/>
    <w:tmpl w:val="03D09780"/>
    <w:lvl w:ilvl="0" w:tplc="5BA065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F81BD3"/>
    <w:multiLevelType w:val="hybridMultilevel"/>
    <w:tmpl w:val="3CE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733EAC"/>
    <w:multiLevelType w:val="hybridMultilevel"/>
    <w:tmpl w:val="FD984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07"/>
    <w:rsid w:val="00002EBE"/>
    <w:rsid w:val="00045BEB"/>
    <w:rsid w:val="000C113A"/>
    <w:rsid w:val="001272A6"/>
    <w:rsid w:val="00130ED8"/>
    <w:rsid w:val="00151019"/>
    <w:rsid w:val="001C37B4"/>
    <w:rsid w:val="002527A5"/>
    <w:rsid w:val="00273183"/>
    <w:rsid w:val="002B637F"/>
    <w:rsid w:val="002E5439"/>
    <w:rsid w:val="00336AE6"/>
    <w:rsid w:val="00377601"/>
    <w:rsid w:val="00385862"/>
    <w:rsid w:val="00402031"/>
    <w:rsid w:val="004259BA"/>
    <w:rsid w:val="00426255"/>
    <w:rsid w:val="00484752"/>
    <w:rsid w:val="005037AC"/>
    <w:rsid w:val="005633AF"/>
    <w:rsid w:val="005E35E4"/>
    <w:rsid w:val="005E3AF2"/>
    <w:rsid w:val="00610490"/>
    <w:rsid w:val="006773EC"/>
    <w:rsid w:val="006E3598"/>
    <w:rsid w:val="006F2C2F"/>
    <w:rsid w:val="00700B39"/>
    <w:rsid w:val="00745B3F"/>
    <w:rsid w:val="007E1914"/>
    <w:rsid w:val="0088646F"/>
    <w:rsid w:val="00911E97"/>
    <w:rsid w:val="00953122"/>
    <w:rsid w:val="00964683"/>
    <w:rsid w:val="009B0E16"/>
    <w:rsid w:val="009B2CC1"/>
    <w:rsid w:val="009C7B9B"/>
    <w:rsid w:val="00A259CB"/>
    <w:rsid w:val="00A417E2"/>
    <w:rsid w:val="00AC3912"/>
    <w:rsid w:val="00AE7907"/>
    <w:rsid w:val="00AF7C33"/>
    <w:rsid w:val="00B13D5D"/>
    <w:rsid w:val="00BA4ABB"/>
    <w:rsid w:val="00BE250A"/>
    <w:rsid w:val="00BF0BD6"/>
    <w:rsid w:val="00C061A0"/>
    <w:rsid w:val="00C440F1"/>
    <w:rsid w:val="00CB2A20"/>
    <w:rsid w:val="00CC0477"/>
    <w:rsid w:val="00CF6B45"/>
    <w:rsid w:val="00DE4020"/>
    <w:rsid w:val="00F0590D"/>
    <w:rsid w:val="00F12490"/>
    <w:rsid w:val="00F1270D"/>
    <w:rsid w:val="00F3078B"/>
    <w:rsid w:val="00F3155C"/>
    <w:rsid w:val="00FB4D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75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1272A6"/>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1272A6"/>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1272A6"/>
    <w:rPr>
      <w:rFonts w:cs="David"/>
      <w:noProof/>
      <w:sz w:val="24"/>
      <w:szCs w:val="22"/>
      <w:lang w:eastAsia="he-IL"/>
    </w:rPr>
  </w:style>
  <w:style w:type="paragraph" w:styleId="BodyTextIndent">
    <w:name w:val="Body Text Indent"/>
    <w:basedOn w:val="Normal"/>
    <w:link w:val="BodyTextIndentChar"/>
    <w:semiHidden/>
    <w:rsid w:val="00BA4ABB"/>
    <w:pPr>
      <w:tabs>
        <w:tab w:val="left" w:pos="1415"/>
        <w:tab w:val="left" w:pos="1840"/>
      </w:tabs>
      <w:ind w:left="1840" w:hanging="1840"/>
    </w:pPr>
  </w:style>
  <w:style w:type="character" w:customStyle="1" w:styleId="BodyTextIndentChar">
    <w:name w:val="Body Text Indent Char"/>
    <w:basedOn w:val="DefaultParagraphFont"/>
    <w:link w:val="BodyTextIndent"/>
    <w:semiHidden/>
    <w:rsid w:val="00BA4ABB"/>
    <w:rPr>
      <w:rFonts w:cs="David"/>
      <w:noProof/>
      <w:sz w:val="24"/>
      <w:szCs w:val="24"/>
      <w:lang w:eastAsia="he-IL"/>
    </w:rPr>
  </w:style>
  <w:style w:type="paragraph" w:styleId="BodyTextIndent2">
    <w:name w:val="Body Text Indent 2"/>
    <w:basedOn w:val="Normal"/>
    <w:link w:val="BodyTextIndent2Char"/>
    <w:semiHidden/>
    <w:rsid w:val="00BA4ABB"/>
    <w:pPr>
      <w:tabs>
        <w:tab w:val="left" w:pos="1415"/>
        <w:tab w:val="left" w:pos="1840"/>
      </w:tabs>
      <w:ind w:left="1840" w:hanging="1840"/>
      <w:jc w:val="both"/>
    </w:pPr>
  </w:style>
  <w:style w:type="character" w:customStyle="1" w:styleId="BodyTextIndent2Char">
    <w:name w:val="Body Text Indent 2 Char"/>
    <w:basedOn w:val="DefaultParagraphFont"/>
    <w:link w:val="BodyTextIndent2"/>
    <w:semiHidden/>
    <w:rsid w:val="00BA4ABB"/>
    <w:rPr>
      <w:rFonts w:cs="David"/>
      <w:noProof/>
      <w:sz w:val="24"/>
      <w:szCs w:val="24"/>
      <w:lang w:eastAsia="he-IL"/>
    </w:rPr>
  </w:style>
  <w:style w:type="paragraph" w:styleId="BodyTextIndent3">
    <w:name w:val="Body Text Indent 3"/>
    <w:basedOn w:val="Normal"/>
    <w:link w:val="BodyTextIndent3Char"/>
    <w:uiPriority w:val="99"/>
    <w:unhideWhenUsed/>
    <w:rsid w:val="00402031"/>
    <w:pPr>
      <w:bidi w:val="0"/>
      <w:spacing w:after="120" w:line="276" w:lineRule="auto"/>
      <w:ind w:left="1080" w:hanging="708"/>
    </w:pPr>
    <w:rPr>
      <w:rFonts w:ascii="Cambria" w:hAnsi="Cambria"/>
    </w:rPr>
  </w:style>
  <w:style w:type="character" w:customStyle="1" w:styleId="BodyTextIndent3Char">
    <w:name w:val="Body Text Indent 3 Char"/>
    <w:basedOn w:val="DefaultParagraphFont"/>
    <w:link w:val="BodyTextIndent3"/>
    <w:uiPriority w:val="99"/>
    <w:rsid w:val="00402031"/>
    <w:rPr>
      <w:rFonts w:ascii="Cambria" w:hAnsi="Cambria" w:cs="David"/>
      <w:noProof/>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Safety</Template>
  <TotalTime>165</TotalTime>
  <Pages>4</Pages>
  <Words>910</Words>
  <Characters>5188</Characters>
  <Application>Microsoft Office Word</Application>
  <DocSecurity>0</DocSecurity>
  <Lines>43</Lines>
  <Paragraphs>12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- 07-315</vt:lpstr>
      <vt:lpstr>הוראות בטיחות - 07-315</vt:lpstr>
    </vt:vector>
  </TitlesOfParts>
  <Company> </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- 07-315</dc:title>
  <dc:subject/>
  <dc:creator>עופר לוגסי</dc:creator>
  <cp:keywords/>
  <dc:description/>
  <cp:lastModifiedBy>Michele Sagir</cp:lastModifiedBy>
  <cp:revision>19</cp:revision>
  <cp:lastPrinted>2000-08-14T10:00:00Z</cp:lastPrinted>
  <dcterms:created xsi:type="dcterms:W3CDTF">2020-11-23T10:53:00Z</dcterms:created>
  <dcterms:modified xsi:type="dcterms:W3CDTF">2020-12-13T13:01:00Z</dcterms:modified>
</cp:coreProperties>
</file>