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93"/>
        <w:gridCol w:w="856"/>
        <w:gridCol w:w="7858"/>
      </w:tblGrid>
      <w:tr w:rsidR="00A277DB" w:rsidRPr="0090497A" w14:paraId="28874FC5" w14:textId="77777777" w:rsidTr="00CF632A">
        <w:trPr>
          <w:tblHeader/>
        </w:trPr>
        <w:tc>
          <w:tcPr>
            <w:tcW w:w="10207" w:type="dxa"/>
            <w:gridSpan w:val="3"/>
          </w:tcPr>
          <w:p w14:paraId="4F73CCDE" w14:textId="62C1DBC5" w:rsidR="00A277DB" w:rsidRPr="00A277DB" w:rsidRDefault="00A277DB" w:rsidP="00A277DB">
            <w:pPr>
              <w:bidi w:val="0"/>
              <w:spacing w:after="180"/>
              <w:ind w:left="2160" w:hanging="2160"/>
              <w:rPr>
                <w:rFonts w:ascii="Cambria" w:hAnsi="Cambria"/>
                <w:b/>
                <w:bCs/>
                <w:u w:val="single"/>
              </w:rPr>
            </w:pPr>
            <w:r w:rsidRPr="00A277DB">
              <w:rPr>
                <w:rFonts w:ascii="Cambria" w:hAnsi="Cambria"/>
              </w:rPr>
              <w:t>Name of Appendix:</w:t>
            </w:r>
            <w:r w:rsidRPr="00A277DB">
              <w:rPr>
                <w:rFonts w:ascii="Cambria" w:hAnsi="Cambria"/>
              </w:rPr>
              <w:tab/>
            </w:r>
            <w:r w:rsidRPr="00A277DB">
              <w:rPr>
                <w:rFonts w:ascii="Cambria" w:hAnsi="Cambria"/>
                <w:b/>
                <w:bCs/>
                <w:u w:val="single"/>
              </w:rPr>
              <w:t>Safety for those working with pressure absorvers – for air and other gases, vapor and steam</w:t>
            </w:r>
          </w:p>
        </w:tc>
      </w:tr>
      <w:tr w:rsidR="00276E96" w:rsidRPr="0090497A" w14:paraId="003301A2" w14:textId="77777777" w:rsidTr="00A277DB">
        <w:tc>
          <w:tcPr>
            <w:tcW w:w="1493" w:type="dxa"/>
          </w:tcPr>
          <w:p w14:paraId="7B165BAA" w14:textId="392D2EF2" w:rsidR="00276E96" w:rsidRPr="00C96B5A" w:rsidRDefault="00A277DB" w:rsidP="00545A01">
            <w:pPr>
              <w:pStyle w:val="ListParagraph"/>
              <w:spacing w:after="60" w:line="240" w:lineRule="auto"/>
              <w:ind w:left="0"/>
              <w:jc w:val="left"/>
            </w:pPr>
            <w:r>
              <w:t>Instructions for conduct</w:t>
            </w:r>
          </w:p>
        </w:tc>
        <w:tc>
          <w:tcPr>
            <w:tcW w:w="856" w:type="dxa"/>
          </w:tcPr>
          <w:p w14:paraId="6A0BFA5A" w14:textId="74264447" w:rsidR="00276E96" w:rsidRPr="00C96B5A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68903AF7" w14:textId="4FEA0E68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 xml:space="preserve">Treatment (storage, </w:t>
            </w:r>
            <w:r w:rsidR="00A277DB">
              <w:rPr>
                <w:rFonts w:ascii="Cambria" w:hAnsi="Cambria"/>
              </w:rPr>
              <w:t>transport</w:t>
            </w:r>
            <w:r w:rsidRPr="00A277DB">
              <w:rPr>
                <w:rFonts w:ascii="Cambria" w:hAnsi="Cambria"/>
              </w:rPr>
              <w:t>, use) of vapors, air and other compressed gases, and steam entails risk and requires suitable safety precautions.</w:t>
            </w:r>
          </w:p>
        </w:tc>
      </w:tr>
      <w:tr w:rsidR="00276E96" w:rsidRPr="0090497A" w14:paraId="0A8388B5" w14:textId="77777777" w:rsidTr="00A277DB">
        <w:tc>
          <w:tcPr>
            <w:tcW w:w="1493" w:type="dxa"/>
          </w:tcPr>
          <w:p w14:paraId="1A6A1EA4" w14:textId="77777777" w:rsidR="00276E96" w:rsidRPr="00C96B5A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3FD2468B" w14:textId="6E6E5970" w:rsidR="00276E96" w:rsidRPr="00C96B5A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00E92029" w14:textId="242F1A1A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In addition to the risk of a mechanical shock wave (explosion) when handling pressure absorbers there are other special dangers when handling them, depending on the type of substance</w:t>
            </w:r>
            <w:r w:rsidR="006208ED">
              <w:rPr>
                <w:rFonts w:ascii="Cambria" w:hAnsi="Cambria"/>
              </w:rPr>
              <w:t>s</w:t>
            </w:r>
            <w:r w:rsidRPr="00A277DB">
              <w:rPr>
                <w:rFonts w:ascii="Cambria" w:hAnsi="Cambria"/>
              </w:rPr>
              <w:t xml:space="preserve"> that are liable to cause heat or chemical burns, choking, poisoning, destruction, explosion and fire.  Those that handle these must be familiar with them and act accordingly.</w:t>
            </w:r>
          </w:p>
        </w:tc>
      </w:tr>
      <w:tr w:rsidR="00276E96" w:rsidRPr="0090497A" w14:paraId="3BCB55EC" w14:textId="77777777" w:rsidTr="00A277DB">
        <w:tc>
          <w:tcPr>
            <w:tcW w:w="1493" w:type="dxa"/>
          </w:tcPr>
          <w:p w14:paraId="64500F78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732049FD" w14:textId="1F2B89BE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38C36A21" w14:textId="6F771B97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Pressure absorbers must have a mechanical strength suited to the “working pressure” (test pressure plus the relevant safety factor), and should be used only for their intended purpose.</w:t>
            </w:r>
          </w:p>
        </w:tc>
      </w:tr>
      <w:tr w:rsidR="00276E96" w:rsidRPr="0090497A" w14:paraId="4FE136A4" w14:textId="77777777" w:rsidTr="00A277DB">
        <w:tc>
          <w:tcPr>
            <w:tcW w:w="1493" w:type="dxa"/>
          </w:tcPr>
          <w:p w14:paraId="04C1F047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02AC01B9" w14:textId="347EEFCA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096ECFC3" w14:textId="77777777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Any pressure absorber, except for condensed gas canisters, must be equipped with following three safety devices:</w:t>
            </w:r>
          </w:p>
          <w:p w14:paraId="02419C95" w14:textId="405E6AF6" w:rsidR="00276E96" w:rsidRPr="00B83488" w:rsidRDefault="00B83488" w:rsidP="00B83488">
            <w:pPr>
              <w:pStyle w:val="ListParagraph"/>
              <w:numPr>
                <w:ilvl w:val="0"/>
                <w:numId w:val="5"/>
              </w:numPr>
              <w:ind w:left="345" w:hanging="283"/>
            </w:pPr>
            <w:r>
              <w:t>S</w:t>
            </w:r>
            <w:r w:rsidR="00276E96" w:rsidRPr="00B83488">
              <w:t>afety valve or other equivalent device;</w:t>
            </w:r>
          </w:p>
          <w:p w14:paraId="72763594" w14:textId="77777777" w:rsidR="00276E96" w:rsidRPr="00B83488" w:rsidRDefault="00276E96" w:rsidP="00B83488">
            <w:pPr>
              <w:pStyle w:val="ListParagraph"/>
              <w:numPr>
                <w:ilvl w:val="0"/>
                <w:numId w:val="5"/>
              </w:numPr>
              <w:ind w:left="345" w:hanging="283"/>
            </w:pPr>
            <w:r w:rsidRPr="00B83488">
              <w:t>Pressure gauge;</w:t>
            </w:r>
          </w:p>
          <w:p w14:paraId="1BCAD885" w14:textId="62525517" w:rsidR="00276E96" w:rsidRPr="00B83488" w:rsidRDefault="00276E96" w:rsidP="00B83488">
            <w:pPr>
              <w:pStyle w:val="ListParagraph"/>
              <w:numPr>
                <w:ilvl w:val="0"/>
                <w:numId w:val="5"/>
              </w:numPr>
              <w:ind w:left="345" w:hanging="283"/>
            </w:pPr>
            <w:r w:rsidRPr="00B83488">
              <w:t>Release tap.</w:t>
            </w:r>
          </w:p>
        </w:tc>
      </w:tr>
      <w:tr w:rsidR="00276E96" w:rsidRPr="0090497A" w14:paraId="3C3FEF10" w14:textId="77777777" w:rsidTr="00A277DB">
        <w:tc>
          <w:tcPr>
            <w:tcW w:w="1493" w:type="dxa"/>
          </w:tcPr>
          <w:p w14:paraId="514DE60A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0DFA17A2" w14:textId="0DA6C12F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4E696476" w14:textId="393DC7E6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The diameter of the safety valve must not be less than the required standard, in order to ensure the release of excess pressure at the rate needed.  Do not attached a disconnect valve between the safety valve and the absorber itself.</w:t>
            </w:r>
          </w:p>
        </w:tc>
      </w:tr>
      <w:tr w:rsidR="00276E96" w:rsidRPr="0090497A" w14:paraId="7511B4F6" w14:textId="77777777" w:rsidTr="00A277DB">
        <w:tc>
          <w:tcPr>
            <w:tcW w:w="1493" w:type="dxa"/>
          </w:tcPr>
          <w:p w14:paraId="7FEEF7D6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7BC31DBD" w14:textId="066F8932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0758CF34" w14:textId="5F18CDFE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The range for readings on the pressure gauge should allow someone to distinguish a 10% change (at least) from the maximum permitted pressure.  Its upper reading limit should be 100% above its working pressure.</w:t>
            </w:r>
          </w:p>
        </w:tc>
      </w:tr>
      <w:tr w:rsidR="00276E96" w:rsidRPr="0090497A" w14:paraId="28E5EBE9" w14:textId="77777777" w:rsidTr="00A277DB">
        <w:tc>
          <w:tcPr>
            <w:tcW w:w="1493" w:type="dxa"/>
          </w:tcPr>
          <w:p w14:paraId="6E6727D2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43582E9D" w14:textId="4D2A64BB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29011095" w14:textId="3035129D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The release tap of the pressure absorber should be installed so that it allows both liquid and solid waste to be emptied, even from the lowest part of the absorber.</w:t>
            </w:r>
          </w:p>
        </w:tc>
      </w:tr>
      <w:tr w:rsidR="00276E96" w:rsidRPr="0090497A" w14:paraId="29A57094" w14:textId="77777777" w:rsidTr="00A277DB">
        <w:tc>
          <w:tcPr>
            <w:tcW w:w="1493" w:type="dxa"/>
          </w:tcPr>
          <w:p w14:paraId="21657AF2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179823F0" w14:textId="0C1BCBC8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42A75CF1" w14:textId="062319A6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 xml:space="preserve">Pressure absorbers for steam and compressed air (except compressed air canisters) must be checked periodically and approved by a “certified </w:t>
            </w:r>
            <w:r w:rsidRPr="00A277DB">
              <w:rPr>
                <w:rFonts w:ascii="Cambria" w:hAnsi="Cambria"/>
              </w:rPr>
              <w:lastRenderedPageBreak/>
              <w:t>tester.”</w:t>
            </w:r>
          </w:p>
        </w:tc>
      </w:tr>
      <w:tr w:rsidR="00276E96" w:rsidRPr="0090497A" w14:paraId="3BF1703E" w14:textId="77777777" w:rsidTr="00A277DB">
        <w:tc>
          <w:tcPr>
            <w:tcW w:w="1493" w:type="dxa"/>
          </w:tcPr>
          <w:p w14:paraId="0286E56A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4ADCAE3D" w14:textId="2873EE3A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45082698" w14:textId="77777777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 xml:space="preserve">All components of the pressure system – the absorber, tubes, instruments and work installation itself (the consumer) must be strong enough to bear the maximum pressure of the original (in the absorber) plus 50% (for a total of 150% of the original pressure).  </w:t>
            </w:r>
          </w:p>
          <w:p w14:paraId="0F153726" w14:textId="731FC287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Regarding pressure facilities for use under especially high pressure and pressure facilities with a particularly small capacity, a testing pressure of 125% will be permitted with the consent of a certified tester or University safety engineer.</w:t>
            </w:r>
          </w:p>
        </w:tc>
      </w:tr>
      <w:tr w:rsidR="00276E96" w:rsidRPr="0090497A" w14:paraId="0EF31833" w14:textId="77777777" w:rsidTr="00A277DB">
        <w:tc>
          <w:tcPr>
            <w:tcW w:w="1493" w:type="dxa"/>
          </w:tcPr>
          <w:p w14:paraId="63FE28E6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386BC048" w14:textId="7E9CE4B0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18BC681E" w14:textId="24769840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The ends of flexible tubing must be connected with reliable clips that can bear the testing pressure (150% of the maximum working pressure).</w:t>
            </w:r>
          </w:p>
        </w:tc>
      </w:tr>
      <w:tr w:rsidR="00276E96" w:rsidRPr="0090497A" w14:paraId="724BD02C" w14:textId="77777777" w:rsidTr="00A277DB">
        <w:tc>
          <w:tcPr>
            <w:tcW w:w="1493" w:type="dxa"/>
          </w:tcPr>
          <w:p w14:paraId="381AFE5C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1EF41314" w14:textId="53D1F118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148CA2BC" w14:textId="2509A6B1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Pressure absorbers must be placed in spaces that are adequately ventilated, upper and/or lower, according to the specific gravity (relative to the air) of the gas / vapor in the absorber.</w:t>
            </w:r>
          </w:p>
        </w:tc>
      </w:tr>
      <w:tr w:rsidR="00276E96" w:rsidRPr="0090497A" w14:paraId="35BE3560" w14:textId="77777777" w:rsidTr="00A277DB">
        <w:tc>
          <w:tcPr>
            <w:tcW w:w="1493" w:type="dxa"/>
          </w:tcPr>
          <w:p w14:paraId="430FE506" w14:textId="77777777" w:rsidR="00276E96" w:rsidRDefault="00276E96" w:rsidP="00545A01">
            <w:pPr>
              <w:pStyle w:val="ListParagraph"/>
              <w:spacing w:after="60" w:line="240" w:lineRule="auto"/>
              <w:ind w:left="0"/>
              <w:jc w:val="left"/>
            </w:pPr>
          </w:p>
        </w:tc>
        <w:tc>
          <w:tcPr>
            <w:tcW w:w="856" w:type="dxa"/>
          </w:tcPr>
          <w:p w14:paraId="111BCC37" w14:textId="18E5CDAB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right"/>
            </w:pPr>
          </w:p>
        </w:tc>
        <w:tc>
          <w:tcPr>
            <w:tcW w:w="7858" w:type="dxa"/>
          </w:tcPr>
          <w:p w14:paraId="72760C2E" w14:textId="710A9CDD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 xml:space="preserve">Large arrays of pressure absorbers, as well as large-volume pressure absorbers, should be located in an uncovered location or in rooms equipped with shock wave release openings or a “soft” wall. </w:t>
            </w:r>
          </w:p>
        </w:tc>
      </w:tr>
      <w:tr w:rsidR="00276E96" w:rsidRPr="0090497A" w14:paraId="0CD2D0AB" w14:textId="77777777" w:rsidTr="00A277DB">
        <w:tc>
          <w:tcPr>
            <w:tcW w:w="1493" w:type="dxa"/>
          </w:tcPr>
          <w:p w14:paraId="30D5E603" w14:textId="5DB10726" w:rsidR="00276E96" w:rsidRDefault="00276E96" w:rsidP="00276E96">
            <w:pPr>
              <w:pStyle w:val="ListParagraph"/>
              <w:spacing w:after="60" w:line="240" w:lineRule="auto"/>
              <w:ind w:left="0"/>
              <w:contextualSpacing w:val="0"/>
              <w:jc w:val="left"/>
            </w:pPr>
            <w:r>
              <w:t>Responsible for performance</w:t>
            </w:r>
          </w:p>
        </w:tc>
        <w:tc>
          <w:tcPr>
            <w:tcW w:w="856" w:type="dxa"/>
          </w:tcPr>
          <w:p w14:paraId="13762975" w14:textId="0872A2A2" w:rsidR="00276E96" w:rsidRDefault="00276E96" w:rsidP="00A277DB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contextualSpacing w:val="0"/>
              <w:jc w:val="right"/>
            </w:pPr>
          </w:p>
        </w:tc>
        <w:tc>
          <w:tcPr>
            <w:tcW w:w="7858" w:type="dxa"/>
          </w:tcPr>
          <w:p w14:paraId="05C3F12B" w14:textId="319BCEF1" w:rsidR="00276E96" w:rsidRPr="00A277DB" w:rsidRDefault="00276E96" w:rsidP="0087224F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The following are respon</w:t>
            </w:r>
            <w:r w:rsidR="0087224F">
              <w:rPr>
                <w:rFonts w:ascii="Cambria" w:hAnsi="Cambria"/>
              </w:rPr>
              <w:t>sible for performance of these directives</w:t>
            </w:r>
            <w:bookmarkStart w:id="0" w:name="_GoBack"/>
            <w:bookmarkEnd w:id="0"/>
            <w:r w:rsidRPr="00A277DB">
              <w:rPr>
                <w:rFonts w:ascii="Cambria" w:hAnsi="Cambria"/>
              </w:rPr>
              <w:t xml:space="preserve">: </w:t>
            </w:r>
          </w:p>
          <w:p w14:paraId="2C304A5B" w14:textId="0307E46E" w:rsidR="00276E96" w:rsidRPr="00A277DB" w:rsidRDefault="00276E96" w:rsidP="00B83488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Maintenance Unit</w:t>
            </w:r>
            <w:r w:rsidR="00B83488">
              <w:rPr>
                <w:rFonts w:ascii="Cambria" w:hAnsi="Cambria"/>
              </w:rPr>
              <w:t xml:space="preserve"> manager</w:t>
            </w:r>
          </w:p>
          <w:p w14:paraId="37211FEE" w14:textId="3263AFE9" w:rsidR="00276E96" w:rsidRPr="00A277DB" w:rsidRDefault="00276E96" w:rsidP="00A277DB">
            <w:pPr>
              <w:bidi w:val="0"/>
              <w:spacing w:after="120" w:line="276" w:lineRule="auto"/>
              <w:ind w:left="62"/>
              <w:rPr>
                <w:rFonts w:ascii="Cambria" w:hAnsi="Cambria"/>
              </w:rPr>
            </w:pPr>
            <w:r w:rsidRPr="00A277DB">
              <w:rPr>
                <w:rFonts w:ascii="Cambria" w:hAnsi="Cambria"/>
              </w:rPr>
              <w:t>Mechan</w:t>
            </w:r>
            <w:r w:rsidR="00B83488">
              <w:rPr>
                <w:rFonts w:ascii="Cambria" w:hAnsi="Cambria"/>
              </w:rPr>
              <w:t>ical systems operations manager</w:t>
            </w:r>
          </w:p>
        </w:tc>
      </w:tr>
    </w:tbl>
    <w:p w14:paraId="0C916265" w14:textId="4078672D" w:rsidR="001272A6" w:rsidRPr="001272A6" w:rsidRDefault="001272A6" w:rsidP="001272A6">
      <w:pPr>
        <w:bidi w:val="0"/>
        <w:spacing w:after="120"/>
        <w:jc w:val="both"/>
        <w:rPr>
          <w:rFonts w:ascii="Cambria" w:hAnsi="Cambria"/>
        </w:rPr>
      </w:pPr>
    </w:p>
    <w:p w14:paraId="661B02CF" w14:textId="3547BAC2" w:rsidR="001272A6" w:rsidRPr="001272A6" w:rsidRDefault="001272A6" w:rsidP="001272A6">
      <w:pPr>
        <w:bidi w:val="0"/>
        <w:spacing w:after="120"/>
        <w:jc w:val="both"/>
        <w:rPr>
          <w:rFonts w:ascii="Cambria" w:hAnsi="Cambria"/>
        </w:rPr>
      </w:pPr>
    </w:p>
    <w:p w14:paraId="1BD46C1C" w14:textId="3F443A86" w:rsidR="001272A6" w:rsidRPr="001272A6" w:rsidRDefault="001272A6" w:rsidP="001272A6">
      <w:pPr>
        <w:bidi w:val="0"/>
        <w:spacing w:after="120"/>
        <w:jc w:val="both"/>
        <w:rPr>
          <w:rFonts w:ascii="Cambria" w:hAnsi="Cambria"/>
        </w:rPr>
      </w:pPr>
    </w:p>
    <w:sectPr w:rsidR="001272A6" w:rsidRPr="001272A6">
      <w:headerReference w:type="default" r:id="rId8"/>
      <w:endnotePr>
        <w:numFmt w:val="lowerLetter"/>
      </w:endnotePr>
      <w:pgSz w:w="11906" w:h="16838"/>
      <w:pgMar w:top="3119" w:right="1418" w:bottom="209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CEFEB" w14:textId="77777777" w:rsidR="00F36918" w:rsidRDefault="00F36918">
      <w:r>
        <w:separator/>
      </w:r>
    </w:p>
  </w:endnote>
  <w:endnote w:type="continuationSeparator" w:id="0">
    <w:p w14:paraId="5EA504CA" w14:textId="77777777" w:rsidR="00F36918" w:rsidRDefault="00F3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1E65C" w14:textId="77777777" w:rsidR="00F36918" w:rsidRDefault="00F36918">
      <w:r>
        <w:separator/>
      </w:r>
    </w:p>
  </w:footnote>
  <w:footnote w:type="continuationSeparator" w:id="0">
    <w:p w14:paraId="116B8E01" w14:textId="77777777" w:rsidR="00F36918" w:rsidRDefault="00F3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BB63" w14:textId="77777777" w:rsidR="001272A6" w:rsidRPr="001272A6" w:rsidRDefault="001272A6" w:rsidP="001272A6">
    <w:pPr>
      <w:pStyle w:val="Header"/>
      <w:bidi w:val="0"/>
      <w:jc w:val="center"/>
      <w:rPr>
        <w:rFonts w:ascii="Cambria" w:hAnsi="Cambria"/>
        <w:b/>
        <w:bCs/>
        <w:sz w:val="28"/>
        <w:szCs w:val="28"/>
      </w:rPr>
    </w:pPr>
    <w:r w:rsidRPr="001272A6">
      <w:rPr>
        <w:rFonts w:ascii="Cambria" w:hAnsi="Cambria"/>
        <w:b/>
        <w:bCs/>
        <w:sz w:val="28"/>
        <w:szCs w:val="28"/>
      </w:rPr>
      <w:t>Tel Aviv University</w:t>
    </w:r>
  </w:p>
  <w:p w14:paraId="5DA37D4F" w14:textId="33351365" w:rsidR="001272A6" w:rsidRPr="00485037" w:rsidRDefault="00276E96" w:rsidP="001272A6">
    <w:pPr>
      <w:pStyle w:val="Header"/>
      <w:bidi w:val="0"/>
      <w:jc w:val="center"/>
      <w:rPr>
        <w:rFonts w:ascii="Cambria" w:hAnsi="Cambria"/>
        <w:szCs w:val="24"/>
      </w:rPr>
    </w:pPr>
    <w:r>
      <w:rPr>
        <w:rFonts w:ascii="Cambria" w:hAnsi="Cambria"/>
        <w:szCs w:val="24"/>
      </w:rPr>
      <w:t>S</w:t>
    </w:r>
    <w:r w:rsidR="001272A6" w:rsidRPr="00485037">
      <w:rPr>
        <w:rFonts w:ascii="Cambria" w:hAnsi="Cambria"/>
        <w:szCs w:val="24"/>
      </w:rPr>
      <w:t>afety Unit</w:t>
    </w:r>
  </w:p>
  <w:p w14:paraId="640B3051" w14:textId="77777777" w:rsidR="001272A6" w:rsidRPr="00485037" w:rsidRDefault="001272A6" w:rsidP="001272A6">
    <w:pPr>
      <w:pStyle w:val="Header"/>
      <w:bidi w:val="0"/>
      <w:rPr>
        <w:rFonts w:ascii="Cambria" w:hAnsi="Cambria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903"/>
      <w:gridCol w:w="1428"/>
      <w:gridCol w:w="1931"/>
      <w:gridCol w:w="1762"/>
    </w:tblGrid>
    <w:tr w:rsidR="001272A6" w:rsidRPr="00485037" w14:paraId="2FDC59CC" w14:textId="77777777" w:rsidTr="00545A01">
      <w:trPr>
        <w:jc w:val="center"/>
      </w:trPr>
      <w:tc>
        <w:tcPr>
          <w:tcW w:w="3046" w:type="dxa"/>
          <w:vAlign w:val="center"/>
        </w:tcPr>
        <w:p w14:paraId="1C496D7E" w14:textId="77777777" w:rsidR="001272A6" w:rsidRPr="00485037" w:rsidRDefault="001272A6" w:rsidP="001272A6">
          <w:pPr>
            <w:pStyle w:val="Header"/>
            <w:bidi w:val="0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485037">
            <w:rPr>
              <w:rFonts w:ascii="Cambria" w:hAnsi="Cambria"/>
              <w:b/>
              <w:bCs/>
              <w:sz w:val="28"/>
              <w:szCs w:val="28"/>
              <w:u w:val="single"/>
            </w:rPr>
            <w:t>Safety Directives</w:t>
          </w:r>
        </w:p>
      </w:tc>
      <w:tc>
        <w:tcPr>
          <w:tcW w:w="903" w:type="dxa"/>
        </w:tcPr>
        <w:p w14:paraId="47FA3AFD" w14:textId="77777777" w:rsidR="001272A6" w:rsidRPr="00485037" w:rsidRDefault="001272A6" w:rsidP="001272A6">
          <w:pPr>
            <w:pStyle w:val="Header"/>
            <w:bidi w:val="0"/>
            <w:rPr>
              <w:rFonts w:ascii="Cambria" w:hAnsi="Cambria"/>
              <w:b/>
              <w:bCs/>
            </w:rPr>
          </w:pPr>
        </w:p>
      </w:tc>
      <w:tc>
        <w:tcPr>
          <w:tcW w:w="1428" w:type="dxa"/>
        </w:tcPr>
        <w:p w14:paraId="65B5C8EF" w14:textId="77777777" w:rsidR="001272A6" w:rsidRPr="00485037" w:rsidRDefault="001272A6" w:rsidP="001272A6">
          <w:pPr>
            <w:pStyle w:val="Header"/>
            <w:bidi w:val="0"/>
            <w:jc w:val="center"/>
            <w:rPr>
              <w:rFonts w:ascii="Cambria" w:hAnsi="Cambria"/>
              <w:b/>
              <w:bCs/>
              <w:u w:val="single"/>
            </w:rPr>
          </w:pPr>
          <w:r w:rsidRPr="00485037">
            <w:rPr>
              <w:rFonts w:ascii="Cambria" w:hAnsi="Cambria"/>
              <w:b/>
              <w:bCs/>
              <w:u w:val="single"/>
            </w:rPr>
            <w:t xml:space="preserve">Page No. 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begin"/>
          </w:r>
          <w:r w:rsidRPr="00485037">
            <w:rPr>
              <w:rFonts w:ascii="Cambria" w:hAnsi="Cambria"/>
              <w:b/>
              <w:bCs/>
              <w:u w:val="single"/>
            </w:rPr>
            <w:instrText xml:space="preserve"> PAGE   \* MERGEFORMAT </w:instrText>
          </w:r>
          <w:r w:rsidRPr="00485037">
            <w:rPr>
              <w:rFonts w:ascii="Cambria" w:hAnsi="Cambria"/>
              <w:b/>
              <w:bCs/>
              <w:u w:val="single"/>
            </w:rPr>
            <w:fldChar w:fldCharType="separate"/>
          </w:r>
          <w:r w:rsidR="0087224F">
            <w:rPr>
              <w:rFonts w:ascii="Cambria" w:hAnsi="Cambria"/>
              <w:b/>
              <w:bCs/>
              <w:u w:val="single"/>
            </w:rPr>
            <w:t>2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end"/>
          </w:r>
        </w:p>
        <w:p w14:paraId="09EA6E8A" w14:textId="77777777" w:rsidR="001272A6" w:rsidRPr="00485037" w:rsidRDefault="001272A6" w:rsidP="001272A6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 xml:space="preserve">Of </w:t>
          </w:r>
          <w:r w:rsidRPr="00485037">
            <w:rPr>
              <w:rFonts w:ascii="Cambria" w:hAnsi="Cambria"/>
            </w:rPr>
            <w:fldChar w:fldCharType="begin"/>
          </w:r>
          <w:r w:rsidRPr="00485037">
            <w:rPr>
              <w:rFonts w:ascii="Cambria" w:hAnsi="Cambria"/>
            </w:rPr>
            <w:instrText xml:space="preserve"> NUMPAGES   \* MERGEFORMAT </w:instrText>
          </w:r>
          <w:r w:rsidRPr="00485037">
            <w:rPr>
              <w:rFonts w:ascii="Cambria" w:hAnsi="Cambria"/>
            </w:rPr>
            <w:fldChar w:fldCharType="separate"/>
          </w:r>
          <w:r w:rsidR="0087224F">
            <w:rPr>
              <w:rFonts w:ascii="Cambria" w:hAnsi="Cambria"/>
            </w:rPr>
            <w:t>2</w:t>
          </w:r>
          <w:r w:rsidRPr="00485037">
            <w:rPr>
              <w:rFonts w:ascii="Cambria" w:hAnsi="Cambria"/>
            </w:rPr>
            <w:fldChar w:fldCharType="end"/>
          </w:r>
        </w:p>
      </w:tc>
      <w:tc>
        <w:tcPr>
          <w:tcW w:w="1931" w:type="dxa"/>
        </w:tcPr>
        <w:p w14:paraId="019F6553" w14:textId="77777777" w:rsidR="001272A6" w:rsidRPr="00485037" w:rsidRDefault="001272A6" w:rsidP="001272A6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Date published</w:t>
          </w:r>
        </w:p>
        <w:p w14:paraId="5AFED5AD" w14:textId="77777777" w:rsidR="001272A6" w:rsidRPr="00485037" w:rsidRDefault="001272A6" w:rsidP="001272A6">
          <w:pPr>
            <w:pStyle w:val="Header"/>
            <w:bidi w:val="0"/>
            <w:jc w:val="center"/>
            <w:rPr>
              <w:rFonts w:ascii="Cambria" w:hAnsi="Cambria"/>
            </w:rPr>
          </w:pPr>
        </w:p>
      </w:tc>
      <w:tc>
        <w:tcPr>
          <w:tcW w:w="1762" w:type="dxa"/>
        </w:tcPr>
        <w:p w14:paraId="7D583459" w14:textId="77777777" w:rsidR="001272A6" w:rsidRPr="00485037" w:rsidRDefault="001272A6" w:rsidP="001272A6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Directive No.</w:t>
          </w:r>
        </w:p>
        <w:p w14:paraId="3BDD3238" w14:textId="2DBF8398" w:rsidR="001272A6" w:rsidRPr="00485037" w:rsidRDefault="001272A6" w:rsidP="001272A6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>07-3</w:t>
          </w:r>
          <w:r>
            <w:rPr>
              <w:rFonts w:ascii="Cambria" w:hAnsi="Cambria"/>
            </w:rPr>
            <w:t>1</w:t>
          </w:r>
          <w:r w:rsidR="00AC3912">
            <w:rPr>
              <w:rFonts w:ascii="Cambria" w:hAnsi="Cambria"/>
            </w:rPr>
            <w:t>6</w:t>
          </w:r>
        </w:p>
      </w:tc>
    </w:tr>
    <w:tr w:rsidR="001272A6" w:rsidRPr="00485037" w14:paraId="140EA1C6" w14:textId="77777777" w:rsidTr="00545A01">
      <w:trPr>
        <w:jc w:val="center"/>
      </w:trPr>
      <w:tc>
        <w:tcPr>
          <w:tcW w:w="9070" w:type="dxa"/>
          <w:gridSpan w:val="5"/>
          <w:tcBorders>
            <w:top w:val="single" w:sz="4" w:space="0" w:color="auto"/>
            <w:bottom w:val="single" w:sz="4" w:space="0" w:color="auto"/>
          </w:tcBorders>
        </w:tcPr>
        <w:p w14:paraId="336DBD94" w14:textId="77777777" w:rsidR="001272A6" w:rsidRPr="00485037" w:rsidRDefault="001272A6" w:rsidP="001272A6">
          <w:pPr>
            <w:pStyle w:val="Header"/>
            <w:tabs>
              <w:tab w:val="right" w:pos="6117"/>
            </w:tabs>
            <w:bidi w:val="0"/>
            <w:spacing w:before="120" w:after="120"/>
            <w:rPr>
              <w:rFonts w:ascii="Cambria" w:hAnsi="Cambria"/>
              <w:u w:val="single"/>
            </w:rPr>
          </w:pPr>
          <w:r w:rsidRPr="00485037">
            <w:rPr>
              <w:rFonts w:ascii="Cambria" w:hAnsi="Cambria"/>
              <w:b/>
              <w:bCs/>
            </w:rPr>
            <w:t>Name of Directive:</w:t>
          </w:r>
          <w:r w:rsidRPr="00485037">
            <w:rPr>
              <w:rFonts w:ascii="Cambria" w:hAnsi="Cambria"/>
              <w:b/>
              <w:bCs/>
            </w:rPr>
            <w:tab/>
          </w:r>
          <w:r w:rsidRPr="00485037">
            <w:rPr>
              <w:rFonts w:ascii="Cambria" w:hAnsi="Cambria"/>
              <w:b/>
              <w:bCs/>
            </w:rPr>
            <w:tab/>
          </w:r>
          <w:r w:rsidRPr="00485037">
            <w:rPr>
              <w:rFonts w:ascii="Cambria" w:hAnsi="Cambria"/>
              <w:b/>
              <w:bCs/>
              <w:sz w:val="26"/>
              <w:szCs w:val="26"/>
            </w:rPr>
            <w:t>University Safety</w:t>
          </w:r>
        </w:p>
      </w:tc>
    </w:tr>
  </w:tbl>
  <w:p w14:paraId="1060D597" w14:textId="77777777" w:rsidR="001272A6" w:rsidRDefault="001272A6" w:rsidP="001272A6">
    <w:pPr>
      <w:pStyle w:val="Header"/>
      <w:bidi w:val="0"/>
      <w:rPr>
        <w:szCs w:val="24"/>
        <w:rtl/>
      </w:rPr>
    </w:pPr>
  </w:p>
  <w:p w14:paraId="18DF4B1C" w14:textId="77777777" w:rsidR="001272A6" w:rsidRDefault="001272A6" w:rsidP="001272A6">
    <w:pPr>
      <w:pStyle w:val="Header"/>
      <w:bidi w:val="0"/>
      <w:rPr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B1F"/>
    <w:multiLevelType w:val="hybridMultilevel"/>
    <w:tmpl w:val="BEC2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0A1C"/>
    <w:multiLevelType w:val="multilevel"/>
    <w:tmpl w:val="84BA4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35CE2"/>
    <w:multiLevelType w:val="hybridMultilevel"/>
    <w:tmpl w:val="03D09780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064B"/>
    <w:multiLevelType w:val="hybridMultilevel"/>
    <w:tmpl w:val="2032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2B3A"/>
    <w:multiLevelType w:val="hybridMultilevel"/>
    <w:tmpl w:val="FB0819D2"/>
    <w:lvl w:ilvl="0" w:tplc="A88C7B84">
      <w:start w:val="1"/>
      <w:numFmt w:val="upperLetter"/>
      <w:lvlText w:val="%1."/>
      <w:lvlJc w:val="center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7"/>
    <w:rsid w:val="00002EBE"/>
    <w:rsid w:val="001272A6"/>
    <w:rsid w:val="002527A5"/>
    <w:rsid w:val="00276E96"/>
    <w:rsid w:val="002B637F"/>
    <w:rsid w:val="00336AE6"/>
    <w:rsid w:val="004259BA"/>
    <w:rsid w:val="00533AD0"/>
    <w:rsid w:val="005E35E4"/>
    <w:rsid w:val="006208ED"/>
    <w:rsid w:val="006E3598"/>
    <w:rsid w:val="007E1914"/>
    <w:rsid w:val="0087224F"/>
    <w:rsid w:val="00911E97"/>
    <w:rsid w:val="00950A78"/>
    <w:rsid w:val="00A277DB"/>
    <w:rsid w:val="00AC3912"/>
    <w:rsid w:val="00AE7907"/>
    <w:rsid w:val="00B83488"/>
    <w:rsid w:val="00BF0BD6"/>
    <w:rsid w:val="00F1270D"/>
    <w:rsid w:val="00F3155C"/>
    <w:rsid w:val="00F36918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75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272A6"/>
    <w:pPr>
      <w:bidi w:val="0"/>
      <w:spacing w:after="120" w:line="276" w:lineRule="auto"/>
      <w:ind w:left="720"/>
      <w:contextualSpacing/>
      <w:jc w:val="both"/>
    </w:pPr>
    <w:rPr>
      <w:rFonts w:ascii="Cambria" w:hAnsi="Cambria" w:cs="Arial"/>
      <w:noProof w:val="0"/>
      <w:lang w:eastAsia="en-US"/>
    </w:rPr>
  </w:style>
  <w:style w:type="table" w:styleId="TableGrid">
    <w:name w:val="Table Grid"/>
    <w:basedOn w:val="TableNormal"/>
    <w:uiPriority w:val="39"/>
    <w:rsid w:val="001272A6"/>
    <w:rPr>
      <w:rFonts w:asci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272A6"/>
    <w:rPr>
      <w:rFonts w:cs="David"/>
      <w:noProof/>
      <w:sz w:val="24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272A6"/>
    <w:pPr>
      <w:bidi w:val="0"/>
      <w:spacing w:after="120" w:line="276" w:lineRule="auto"/>
      <w:ind w:left="720"/>
      <w:contextualSpacing/>
      <w:jc w:val="both"/>
    </w:pPr>
    <w:rPr>
      <w:rFonts w:ascii="Cambria" w:hAnsi="Cambria" w:cs="Arial"/>
      <w:noProof w:val="0"/>
      <w:lang w:eastAsia="en-US"/>
    </w:rPr>
  </w:style>
  <w:style w:type="table" w:styleId="TableGrid">
    <w:name w:val="Table Grid"/>
    <w:basedOn w:val="TableNormal"/>
    <w:uiPriority w:val="39"/>
    <w:rsid w:val="001272A6"/>
    <w:rPr>
      <w:rFonts w:asci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272A6"/>
    <w:rPr>
      <w:rFonts w:cs="David"/>
      <w:noProof/>
      <w:sz w:val="24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\O-LIGHT\MINHALA\Template\Saf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</Template>
  <TotalTime>81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הוראות בטיחות - 07-315</vt:lpstr>
      <vt:lpstr>הוראות בטיחות - 07-315</vt:lpstr>
    </vt:vector>
  </TitlesOfParts>
  <Company> 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הוראות בטיחות - 07-315</dc:title>
  <dc:subject/>
  <dc:creator>עופר לוגסי</dc:creator>
  <cp:keywords/>
  <dc:description/>
  <cp:lastModifiedBy>Michele Sagir</cp:lastModifiedBy>
  <cp:revision>7</cp:revision>
  <cp:lastPrinted>2000-08-14T10:00:00Z</cp:lastPrinted>
  <dcterms:created xsi:type="dcterms:W3CDTF">2020-11-22T12:02:00Z</dcterms:created>
  <dcterms:modified xsi:type="dcterms:W3CDTF">2020-12-13T12:59:00Z</dcterms:modified>
</cp:coreProperties>
</file>