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93"/>
        <w:gridCol w:w="861"/>
        <w:gridCol w:w="7853"/>
      </w:tblGrid>
      <w:tr w:rsidR="003576D5" w:rsidRPr="000C59AC" w14:paraId="28874FC5" w14:textId="77777777" w:rsidTr="008029AB">
        <w:trPr>
          <w:cantSplit/>
          <w:tblHeader/>
        </w:trPr>
        <w:tc>
          <w:tcPr>
            <w:tcW w:w="10207" w:type="dxa"/>
            <w:gridSpan w:val="3"/>
          </w:tcPr>
          <w:p w14:paraId="4F73CCDE" w14:textId="3F6756B4" w:rsidR="003576D5" w:rsidRPr="000C59AC" w:rsidRDefault="003576D5" w:rsidP="003576D5">
            <w:pPr>
              <w:pStyle w:val="ListParagraph"/>
              <w:spacing w:after="180" w:line="240" w:lineRule="auto"/>
              <w:ind w:left="2160" w:hanging="2160"/>
              <w:contextualSpacing w:val="0"/>
              <w:jc w:val="left"/>
              <w:rPr>
                <w:b/>
                <w:bCs/>
                <w:u w:val="single"/>
              </w:rPr>
            </w:pPr>
            <w:bookmarkStart w:id="0" w:name="_GoBack"/>
            <w:bookmarkEnd w:id="0"/>
            <w:r w:rsidRPr="000C59AC">
              <w:t>Name of Appendix:</w:t>
            </w:r>
            <w:r w:rsidRPr="000C59AC">
              <w:tab/>
            </w:r>
            <w:r w:rsidRPr="000C59AC">
              <w:rPr>
                <w:b/>
                <w:bCs/>
                <w:u w:val="single"/>
              </w:rPr>
              <w:t>Safety for those working in chemistry, biochemistry, microbiology or similar laboratories</w:t>
            </w:r>
          </w:p>
        </w:tc>
      </w:tr>
      <w:tr w:rsidR="003576D5" w:rsidRPr="000C59AC" w14:paraId="003301A2" w14:textId="77777777" w:rsidTr="003576D5">
        <w:trPr>
          <w:cantSplit/>
        </w:trPr>
        <w:tc>
          <w:tcPr>
            <w:tcW w:w="1493" w:type="dxa"/>
          </w:tcPr>
          <w:p w14:paraId="4E171DFC" w14:textId="54A14CEC" w:rsidR="003576D5" w:rsidRPr="000C59AC" w:rsidRDefault="003576D5" w:rsidP="00545A01">
            <w:pPr>
              <w:pStyle w:val="ListParagraph"/>
              <w:spacing w:after="60" w:line="240" w:lineRule="auto"/>
              <w:ind w:left="0"/>
              <w:jc w:val="left"/>
            </w:pPr>
            <w:r w:rsidRPr="000C59AC">
              <w:t>General</w:t>
            </w:r>
          </w:p>
        </w:tc>
        <w:tc>
          <w:tcPr>
            <w:tcW w:w="861" w:type="dxa"/>
          </w:tcPr>
          <w:p w14:paraId="6A0BFA5A" w14:textId="3942ADED" w:rsidR="003576D5" w:rsidRPr="000C59AC" w:rsidRDefault="003576D5" w:rsidP="00545A01">
            <w:pPr>
              <w:pStyle w:val="ListParagraph"/>
              <w:spacing w:after="60" w:line="240" w:lineRule="auto"/>
              <w:ind w:left="0"/>
              <w:jc w:val="left"/>
            </w:pPr>
          </w:p>
        </w:tc>
        <w:tc>
          <w:tcPr>
            <w:tcW w:w="7853" w:type="dxa"/>
          </w:tcPr>
          <w:p w14:paraId="68903AF7" w14:textId="0F4663D0" w:rsidR="003576D5" w:rsidRPr="000C59AC" w:rsidRDefault="003576D5" w:rsidP="00545A01">
            <w:pPr>
              <w:pStyle w:val="ListParagraph"/>
              <w:numPr>
                <w:ilvl w:val="0"/>
                <w:numId w:val="1"/>
              </w:numPr>
              <w:spacing w:line="240" w:lineRule="auto"/>
              <w:ind w:left="454" w:hanging="454"/>
              <w:contextualSpacing w:val="0"/>
            </w:pPr>
            <w:r w:rsidRPr="000C59AC">
              <w:t>This directive sets forth the safety rules that obligate scientists, researchers, teachers, laboratory workers, instructors and students.  Every lab worker must be prepared at all times to act in unusual situations.  A summary of information about this can be found in the “Emergency Information Sheet” that must be located in every lab</w:t>
            </w:r>
            <w:r w:rsidR="00291BCF" w:rsidRPr="000C59AC">
              <w:t>oratory</w:t>
            </w:r>
            <w:r w:rsidRPr="000C59AC">
              <w:t>.</w:t>
            </w:r>
          </w:p>
        </w:tc>
      </w:tr>
      <w:tr w:rsidR="003576D5" w:rsidRPr="000C59AC" w14:paraId="0A8388B5" w14:textId="77777777" w:rsidTr="003576D5">
        <w:trPr>
          <w:cantSplit/>
        </w:trPr>
        <w:tc>
          <w:tcPr>
            <w:tcW w:w="1493" w:type="dxa"/>
          </w:tcPr>
          <w:p w14:paraId="2D134817" w14:textId="016CF706" w:rsidR="003576D5" w:rsidRPr="000C59AC" w:rsidRDefault="003576D5" w:rsidP="003576D5">
            <w:pPr>
              <w:pStyle w:val="ListParagraph"/>
              <w:spacing w:after="60" w:line="240" w:lineRule="auto"/>
              <w:ind w:left="0"/>
              <w:contextualSpacing w:val="0"/>
              <w:jc w:val="left"/>
            </w:pPr>
            <w:r w:rsidRPr="000C59AC">
              <w:t xml:space="preserve">Safety </w:t>
            </w:r>
            <w:r w:rsidR="00110B97">
              <w:t>directive</w:t>
            </w:r>
            <w:r w:rsidRPr="000C59AC">
              <w:t>s</w:t>
            </w:r>
          </w:p>
          <w:p w14:paraId="263E25F3" w14:textId="77777777" w:rsidR="003576D5" w:rsidRPr="000C59AC" w:rsidRDefault="003576D5" w:rsidP="00545A01">
            <w:pPr>
              <w:pStyle w:val="ListParagraph"/>
              <w:spacing w:after="60" w:line="240" w:lineRule="auto"/>
              <w:ind w:left="0"/>
              <w:jc w:val="left"/>
            </w:pPr>
          </w:p>
        </w:tc>
        <w:tc>
          <w:tcPr>
            <w:tcW w:w="861" w:type="dxa"/>
          </w:tcPr>
          <w:p w14:paraId="3FD2468B" w14:textId="069F3EF0" w:rsidR="003576D5" w:rsidRPr="000C59AC" w:rsidRDefault="003576D5" w:rsidP="00545A01">
            <w:pPr>
              <w:pStyle w:val="ListParagraph"/>
              <w:spacing w:after="60" w:line="240" w:lineRule="auto"/>
              <w:ind w:left="0"/>
              <w:jc w:val="left"/>
            </w:pPr>
          </w:p>
        </w:tc>
        <w:tc>
          <w:tcPr>
            <w:tcW w:w="7853" w:type="dxa"/>
          </w:tcPr>
          <w:p w14:paraId="00E92029" w14:textId="497C52B7" w:rsidR="003576D5" w:rsidRPr="000C59AC" w:rsidRDefault="003576D5" w:rsidP="00545A01">
            <w:pPr>
              <w:pStyle w:val="ListParagraph"/>
              <w:numPr>
                <w:ilvl w:val="0"/>
                <w:numId w:val="1"/>
              </w:numPr>
              <w:spacing w:line="240" w:lineRule="auto"/>
              <w:ind w:left="454" w:hanging="454"/>
              <w:contextualSpacing w:val="0"/>
            </w:pPr>
            <w:r w:rsidRPr="000C59AC">
              <w:t>Each laboratory worker must be prepared to act in unusual situations.  He must know the location of the electrical switches, main gas and water shutoff valves, firefighting, rescue and first aid equipment, emergency shower and eye bath, and how to behave in the event of a hazmat spill.</w:t>
            </w:r>
          </w:p>
        </w:tc>
      </w:tr>
      <w:tr w:rsidR="003576D5" w:rsidRPr="000C59AC" w14:paraId="3BCB55EC" w14:textId="77777777" w:rsidTr="003576D5">
        <w:trPr>
          <w:cantSplit/>
        </w:trPr>
        <w:tc>
          <w:tcPr>
            <w:tcW w:w="1493" w:type="dxa"/>
          </w:tcPr>
          <w:p w14:paraId="4AE6783B" w14:textId="77777777" w:rsidR="003576D5" w:rsidRPr="000C59AC" w:rsidRDefault="003576D5" w:rsidP="00545A01">
            <w:pPr>
              <w:pStyle w:val="ListParagraph"/>
              <w:spacing w:after="60" w:line="240" w:lineRule="auto"/>
              <w:ind w:left="0"/>
              <w:jc w:val="left"/>
            </w:pPr>
          </w:p>
        </w:tc>
        <w:tc>
          <w:tcPr>
            <w:tcW w:w="861" w:type="dxa"/>
          </w:tcPr>
          <w:p w14:paraId="732049FD" w14:textId="4F249EA1" w:rsidR="003576D5" w:rsidRPr="000C59AC" w:rsidRDefault="003576D5" w:rsidP="00545A01">
            <w:pPr>
              <w:pStyle w:val="ListParagraph"/>
              <w:spacing w:after="60" w:line="240" w:lineRule="auto"/>
              <w:ind w:left="0"/>
              <w:jc w:val="left"/>
            </w:pPr>
          </w:p>
        </w:tc>
        <w:tc>
          <w:tcPr>
            <w:tcW w:w="7853" w:type="dxa"/>
          </w:tcPr>
          <w:p w14:paraId="38C36A21" w14:textId="222C1B54" w:rsidR="003576D5" w:rsidRPr="000C59AC" w:rsidRDefault="003576D5" w:rsidP="007D503B">
            <w:pPr>
              <w:pStyle w:val="ListParagraph"/>
              <w:numPr>
                <w:ilvl w:val="0"/>
                <w:numId w:val="1"/>
              </w:numPr>
              <w:spacing w:line="240" w:lineRule="auto"/>
              <w:ind w:left="454" w:hanging="454"/>
              <w:contextualSpacing w:val="0"/>
            </w:pPr>
            <w:r w:rsidRPr="000C59AC">
              <w:t>A lab</w:t>
            </w:r>
            <w:r w:rsidR="00F13932" w:rsidRPr="000C59AC">
              <w:t>oratory</w:t>
            </w:r>
            <w:r w:rsidRPr="000C59AC">
              <w:t xml:space="preserve"> worker must be in full work attire, protective goggles and lab coat. He must also use other personal protective equipment, depending on the circumstances and as required by his work.</w:t>
            </w:r>
          </w:p>
        </w:tc>
      </w:tr>
      <w:tr w:rsidR="003576D5" w:rsidRPr="000C59AC" w14:paraId="4FE136A4" w14:textId="77777777" w:rsidTr="003576D5">
        <w:trPr>
          <w:cantSplit/>
        </w:trPr>
        <w:tc>
          <w:tcPr>
            <w:tcW w:w="1493" w:type="dxa"/>
          </w:tcPr>
          <w:p w14:paraId="1D4A86DD" w14:textId="77777777" w:rsidR="003576D5" w:rsidRPr="000C59AC" w:rsidRDefault="003576D5" w:rsidP="00545A01">
            <w:pPr>
              <w:pStyle w:val="ListParagraph"/>
              <w:spacing w:after="60" w:line="240" w:lineRule="auto"/>
              <w:ind w:left="0"/>
              <w:jc w:val="left"/>
            </w:pPr>
          </w:p>
        </w:tc>
        <w:tc>
          <w:tcPr>
            <w:tcW w:w="861" w:type="dxa"/>
          </w:tcPr>
          <w:p w14:paraId="02AC01B9" w14:textId="24243D25" w:rsidR="003576D5" w:rsidRPr="000C59AC" w:rsidRDefault="003576D5" w:rsidP="00545A01">
            <w:pPr>
              <w:pStyle w:val="ListParagraph"/>
              <w:spacing w:after="60" w:line="240" w:lineRule="auto"/>
              <w:ind w:left="0"/>
              <w:jc w:val="left"/>
            </w:pPr>
          </w:p>
        </w:tc>
        <w:tc>
          <w:tcPr>
            <w:tcW w:w="7853" w:type="dxa"/>
          </w:tcPr>
          <w:p w14:paraId="1BCAD885" w14:textId="11213312" w:rsidR="003576D5" w:rsidRPr="000C59AC" w:rsidRDefault="003576D5" w:rsidP="00545A01">
            <w:pPr>
              <w:pStyle w:val="ListParagraph"/>
              <w:numPr>
                <w:ilvl w:val="0"/>
                <w:numId w:val="1"/>
              </w:numPr>
              <w:spacing w:line="240" w:lineRule="auto"/>
              <w:ind w:left="454" w:hanging="454"/>
              <w:contextualSpacing w:val="0"/>
            </w:pPr>
            <w:r w:rsidRPr="000C59AC">
              <w:t>Smoking and any other open flame that is not required by the nature of the lab</w:t>
            </w:r>
            <w:r w:rsidR="007D503B" w:rsidRPr="000C59AC">
              <w:t>oratory</w:t>
            </w:r>
            <w:r w:rsidRPr="000C59AC">
              <w:t xml:space="preserve"> are strictly prohibited.</w:t>
            </w:r>
          </w:p>
        </w:tc>
      </w:tr>
      <w:tr w:rsidR="003576D5" w:rsidRPr="000C59AC" w14:paraId="3C3FEF10" w14:textId="77777777" w:rsidTr="003576D5">
        <w:trPr>
          <w:cantSplit/>
        </w:trPr>
        <w:tc>
          <w:tcPr>
            <w:tcW w:w="1493" w:type="dxa"/>
          </w:tcPr>
          <w:p w14:paraId="66E2C173" w14:textId="77777777" w:rsidR="003576D5" w:rsidRPr="000C59AC" w:rsidRDefault="003576D5" w:rsidP="00545A01">
            <w:pPr>
              <w:pStyle w:val="ListParagraph"/>
              <w:spacing w:after="60" w:line="240" w:lineRule="auto"/>
              <w:ind w:left="0"/>
              <w:jc w:val="left"/>
            </w:pPr>
          </w:p>
        </w:tc>
        <w:tc>
          <w:tcPr>
            <w:tcW w:w="861" w:type="dxa"/>
          </w:tcPr>
          <w:p w14:paraId="0DFA17A2" w14:textId="2624A536" w:rsidR="003576D5" w:rsidRPr="000C59AC" w:rsidRDefault="003576D5" w:rsidP="00545A01">
            <w:pPr>
              <w:pStyle w:val="ListParagraph"/>
              <w:spacing w:after="60" w:line="240" w:lineRule="auto"/>
              <w:ind w:left="0"/>
              <w:jc w:val="left"/>
            </w:pPr>
          </w:p>
        </w:tc>
        <w:tc>
          <w:tcPr>
            <w:tcW w:w="7853" w:type="dxa"/>
          </w:tcPr>
          <w:p w14:paraId="4E696476" w14:textId="191A1A17" w:rsidR="003576D5" w:rsidRPr="000C59AC" w:rsidRDefault="003576D5" w:rsidP="00545A01">
            <w:pPr>
              <w:pStyle w:val="ListParagraph"/>
              <w:numPr>
                <w:ilvl w:val="0"/>
                <w:numId w:val="1"/>
              </w:numPr>
              <w:spacing w:line="240" w:lineRule="auto"/>
              <w:ind w:left="454" w:hanging="454"/>
              <w:contextualSpacing w:val="0"/>
            </w:pPr>
            <w:r w:rsidRPr="000C59AC">
              <w:t>Lab workers may use only standard laboratory equipment (glass containers, machinery, motors, hand tools, etc.) that operates correctly and is suited for its designated purpose.  When using laboratory glass, follow the safety rules found in Annex 07-308.</w:t>
            </w:r>
          </w:p>
        </w:tc>
      </w:tr>
      <w:tr w:rsidR="003576D5" w:rsidRPr="000C59AC" w14:paraId="7511B4F6" w14:textId="77777777" w:rsidTr="003576D5">
        <w:trPr>
          <w:cantSplit/>
        </w:trPr>
        <w:tc>
          <w:tcPr>
            <w:tcW w:w="1493" w:type="dxa"/>
          </w:tcPr>
          <w:p w14:paraId="2B062776" w14:textId="77777777" w:rsidR="003576D5" w:rsidRPr="000C59AC" w:rsidRDefault="003576D5" w:rsidP="00545A01">
            <w:pPr>
              <w:pStyle w:val="ListParagraph"/>
              <w:spacing w:after="60" w:line="240" w:lineRule="auto"/>
              <w:ind w:left="0"/>
              <w:jc w:val="left"/>
            </w:pPr>
          </w:p>
        </w:tc>
        <w:tc>
          <w:tcPr>
            <w:tcW w:w="861" w:type="dxa"/>
          </w:tcPr>
          <w:p w14:paraId="7BC31DBD" w14:textId="165A8DFF" w:rsidR="003576D5" w:rsidRPr="000C59AC" w:rsidRDefault="003576D5" w:rsidP="00545A01">
            <w:pPr>
              <w:pStyle w:val="ListParagraph"/>
              <w:spacing w:after="60" w:line="240" w:lineRule="auto"/>
              <w:ind w:left="0"/>
              <w:jc w:val="left"/>
            </w:pPr>
          </w:p>
        </w:tc>
        <w:tc>
          <w:tcPr>
            <w:tcW w:w="7853" w:type="dxa"/>
          </w:tcPr>
          <w:p w14:paraId="0758CF34" w14:textId="721F5D3F" w:rsidR="003576D5" w:rsidRPr="000C59AC" w:rsidRDefault="007D503B" w:rsidP="007D503B">
            <w:pPr>
              <w:pStyle w:val="ListParagraph"/>
              <w:numPr>
                <w:ilvl w:val="0"/>
                <w:numId w:val="1"/>
              </w:numPr>
              <w:spacing w:line="240" w:lineRule="auto"/>
              <w:ind w:left="454" w:hanging="454"/>
              <w:contextualSpacing w:val="0"/>
            </w:pPr>
            <w:r w:rsidRPr="000C59AC">
              <w:t>E</w:t>
            </w:r>
            <w:r w:rsidR="003576D5" w:rsidRPr="000C59AC">
              <w:t xml:space="preserve">nsure that all types of compressed gas canisters are safely secured, and the canister valves </w:t>
            </w:r>
            <w:r w:rsidRPr="000C59AC">
              <w:t xml:space="preserve">are </w:t>
            </w:r>
            <w:r w:rsidR="003576D5" w:rsidRPr="000C59AC">
              <w:t xml:space="preserve">tightly shut after use, even if </w:t>
            </w:r>
            <w:r w:rsidRPr="000C59AC">
              <w:t xml:space="preserve">this is </w:t>
            </w:r>
            <w:r w:rsidR="003576D5" w:rsidRPr="000C59AC">
              <w:t xml:space="preserve">only for a short break. </w:t>
            </w:r>
          </w:p>
        </w:tc>
      </w:tr>
      <w:tr w:rsidR="003576D5" w:rsidRPr="000C59AC" w14:paraId="28E5EBE9" w14:textId="77777777" w:rsidTr="003576D5">
        <w:trPr>
          <w:cantSplit/>
        </w:trPr>
        <w:tc>
          <w:tcPr>
            <w:tcW w:w="1493" w:type="dxa"/>
          </w:tcPr>
          <w:p w14:paraId="01864039" w14:textId="77777777" w:rsidR="003576D5" w:rsidRPr="000C59AC" w:rsidRDefault="003576D5" w:rsidP="00545A01">
            <w:pPr>
              <w:pStyle w:val="ListParagraph"/>
              <w:spacing w:after="60" w:line="240" w:lineRule="auto"/>
              <w:ind w:left="0"/>
              <w:jc w:val="left"/>
            </w:pPr>
          </w:p>
        </w:tc>
        <w:tc>
          <w:tcPr>
            <w:tcW w:w="861" w:type="dxa"/>
          </w:tcPr>
          <w:p w14:paraId="43582E9D" w14:textId="423EE28E" w:rsidR="003576D5" w:rsidRPr="000C59AC" w:rsidRDefault="003576D5" w:rsidP="00545A01">
            <w:pPr>
              <w:pStyle w:val="ListParagraph"/>
              <w:spacing w:after="60" w:line="240" w:lineRule="auto"/>
              <w:ind w:left="0"/>
              <w:jc w:val="left"/>
            </w:pPr>
          </w:p>
        </w:tc>
        <w:tc>
          <w:tcPr>
            <w:tcW w:w="7853" w:type="dxa"/>
          </w:tcPr>
          <w:p w14:paraId="29011095" w14:textId="60B76309" w:rsidR="003576D5" w:rsidRPr="000C59AC" w:rsidRDefault="007D503B" w:rsidP="007D503B">
            <w:pPr>
              <w:pStyle w:val="ListParagraph"/>
              <w:numPr>
                <w:ilvl w:val="0"/>
                <w:numId w:val="1"/>
              </w:numPr>
              <w:spacing w:line="240" w:lineRule="auto"/>
              <w:ind w:left="454" w:hanging="454"/>
              <w:contextualSpacing w:val="0"/>
            </w:pPr>
            <w:r w:rsidRPr="000C59AC">
              <w:t>Every worker must e</w:t>
            </w:r>
            <w:r w:rsidR="003576D5" w:rsidRPr="000C59AC">
              <w:t>nsur</w:t>
            </w:r>
            <w:r w:rsidRPr="000C59AC">
              <w:t>e</w:t>
            </w:r>
            <w:r w:rsidR="003576D5" w:rsidRPr="000C59AC">
              <w:t xml:space="preserve"> the safety of others in the lab</w:t>
            </w:r>
            <w:r w:rsidRPr="000C59AC">
              <w:t>oratory</w:t>
            </w:r>
            <w:r w:rsidR="003576D5" w:rsidRPr="000C59AC">
              <w:t>.  Inform and brief them regarding any possible danger and coordinate with them to find common solutions.</w:t>
            </w:r>
          </w:p>
        </w:tc>
      </w:tr>
      <w:tr w:rsidR="003576D5" w:rsidRPr="000C59AC" w14:paraId="29A57094" w14:textId="77777777" w:rsidTr="003576D5">
        <w:trPr>
          <w:cantSplit/>
        </w:trPr>
        <w:tc>
          <w:tcPr>
            <w:tcW w:w="1493" w:type="dxa"/>
          </w:tcPr>
          <w:p w14:paraId="759723A2" w14:textId="77777777" w:rsidR="003576D5" w:rsidRPr="000C59AC" w:rsidRDefault="003576D5" w:rsidP="00545A01">
            <w:pPr>
              <w:pStyle w:val="ListParagraph"/>
              <w:spacing w:after="60" w:line="240" w:lineRule="auto"/>
              <w:ind w:left="0"/>
              <w:jc w:val="left"/>
            </w:pPr>
          </w:p>
        </w:tc>
        <w:tc>
          <w:tcPr>
            <w:tcW w:w="861" w:type="dxa"/>
          </w:tcPr>
          <w:p w14:paraId="179823F0" w14:textId="1814EB64" w:rsidR="003576D5" w:rsidRPr="000C59AC" w:rsidRDefault="003576D5" w:rsidP="00545A01">
            <w:pPr>
              <w:pStyle w:val="ListParagraph"/>
              <w:spacing w:after="60" w:line="240" w:lineRule="auto"/>
              <w:ind w:left="0"/>
              <w:jc w:val="left"/>
            </w:pPr>
          </w:p>
        </w:tc>
        <w:tc>
          <w:tcPr>
            <w:tcW w:w="7853" w:type="dxa"/>
          </w:tcPr>
          <w:p w14:paraId="42A75CF1" w14:textId="71576A8C" w:rsidR="003576D5" w:rsidRPr="000C59AC" w:rsidRDefault="003576D5" w:rsidP="00545A01">
            <w:pPr>
              <w:pStyle w:val="ListParagraph"/>
              <w:numPr>
                <w:ilvl w:val="0"/>
                <w:numId w:val="1"/>
              </w:numPr>
              <w:spacing w:line="240" w:lineRule="auto"/>
              <w:ind w:left="454" w:hanging="454"/>
              <w:contextualSpacing w:val="0"/>
            </w:pPr>
            <w:r w:rsidRPr="000C59AC">
              <w:t>Work that involves a risk of burning, poisoning, splashing, vapors, contamination and so on, must be performed only in a suitable fume hood.</w:t>
            </w:r>
          </w:p>
        </w:tc>
      </w:tr>
      <w:tr w:rsidR="003576D5" w:rsidRPr="000C59AC" w14:paraId="3BF1703E" w14:textId="77777777" w:rsidTr="003576D5">
        <w:trPr>
          <w:cantSplit/>
        </w:trPr>
        <w:tc>
          <w:tcPr>
            <w:tcW w:w="1493" w:type="dxa"/>
          </w:tcPr>
          <w:p w14:paraId="7527EF51" w14:textId="77777777" w:rsidR="003576D5" w:rsidRPr="000C59AC" w:rsidRDefault="003576D5" w:rsidP="00545A01">
            <w:pPr>
              <w:pStyle w:val="ListParagraph"/>
              <w:spacing w:after="60" w:line="240" w:lineRule="auto"/>
              <w:ind w:left="0"/>
              <w:jc w:val="left"/>
            </w:pPr>
          </w:p>
        </w:tc>
        <w:tc>
          <w:tcPr>
            <w:tcW w:w="861" w:type="dxa"/>
          </w:tcPr>
          <w:p w14:paraId="4ADCAE3D" w14:textId="3DDA2771" w:rsidR="003576D5" w:rsidRPr="000C59AC" w:rsidRDefault="003576D5" w:rsidP="00545A01">
            <w:pPr>
              <w:pStyle w:val="ListParagraph"/>
              <w:spacing w:after="60" w:line="240" w:lineRule="auto"/>
              <w:ind w:left="0"/>
              <w:jc w:val="left"/>
            </w:pPr>
          </w:p>
        </w:tc>
        <w:tc>
          <w:tcPr>
            <w:tcW w:w="7853" w:type="dxa"/>
          </w:tcPr>
          <w:p w14:paraId="0F153726" w14:textId="70AC6736" w:rsidR="003576D5" w:rsidRPr="000C59AC" w:rsidRDefault="003576D5" w:rsidP="007D503B">
            <w:pPr>
              <w:pStyle w:val="ListParagraph"/>
              <w:numPr>
                <w:ilvl w:val="0"/>
                <w:numId w:val="1"/>
              </w:numPr>
              <w:spacing w:line="240" w:lineRule="auto"/>
              <w:ind w:left="454" w:hanging="454"/>
              <w:contextualSpacing w:val="0"/>
            </w:pPr>
            <w:r w:rsidRPr="000C59AC">
              <w:t xml:space="preserve">Firefighting and all other emergency equipment must be found inside </w:t>
            </w:r>
            <w:r w:rsidR="007D503B" w:rsidRPr="000C59AC">
              <w:t xml:space="preserve">and/or near </w:t>
            </w:r>
            <w:r w:rsidRPr="000C59AC">
              <w:t>the lab</w:t>
            </w:r>
            <w:r w:rsidR="007D503B" w:rsidRPr="000C59AC">
              <w:t>oratory</w:t>
            </w:r>
            <w:r w:rsidRPr="000C59AC">
              <w:t xml:space="preserve">, and all lab workers must know </w:t>
            </w:r>
            <w:r w:rsidR="007D503B" w:rsidRPr="000C59AC">
              <w:t>the location</w:t>
            </w:r>
            <w:r w:rsidRPr="000C59AC">
              <w:t>.</w:t>
            </w:r>
          </w:p>
        </w:tc>
      </w:tr>
      <w:tr w:rsidR="003576D5" w:rsidRPr="000C59AC" w14:paraId="0EF31833" w14:textId="77777777" w:rsidTr="003576D5">
        <w:trPr>
          <w:cantSplit/>
        </w:trPr>
        <w:tc>
          <w:tcPr>
            <w:tcW w:w="1493" w:type="dxa"/>
          </w:tcPr>
          <w:p w14:paraId="44B06331" w14:textId="77777777" w:rsidR="003576D5" w:rsidRPr="000C59AC" w:rsidRDefault="003576D5" w:rsidP="00545A01">
            <w:pPr>
              <w:pStyle w:val="ListParagraph"/>
              <w:spacing w:after="60" w:line="240" w:lineRule="auto"/>
              <w:ind w:left="0"/>
              <w:jc w:val="left"/>
            </w:pPr>
          </w:p>
        </w:tc>
        <w:tc>
          <w:tcPr>
            <w:tcW w:w="861" w:type="dxa"/>
          </w:tcPr>
          <w:p w14:paraId="386BC048" w14:textId="6D17CA14" w:rsidR="003576D5" w:rsidRPr="000C59AC" w:rsidRDefault="003576D5" w:rsidP="00545A01">
            <w:pPr>
              <w:pStyle w:val="ListParagraph"/>
              <w:spacing w:after="60" w:line="240" w:lineRule="auto"/>
              <w:ind w:left="0"/>
              <w:jc w:val="left"/>
            </w:pPr>
          </w:p>
        </w:tc>
        <w:tc>
          <w:tcPr>
            <w:tcW w:w="7853" w:type="dxa"/>
          </w:tcPr>
          <w:p w14:paraId="18BC681E" w14:textId="21007E40" w:rsidR="003576D5" w:rsidRPr="000C59AC" w:rsidRDefault="003576D5" w:rsidP="00545A01">
            <w:pPr>
              <w:pStyle w:val="ListParagraph"/>
              <w:numPr>
                <w:ilvl w:val="0"/>
                <w:numId w:val="1"/>
              </w:numPr>
              <w:spacing w:line="240" w:lineRule="auto"/>
              <w:ind w:left="454" w:hanging="454"/>
              <w:contextualSpacing w:val="0"/>
            </w:pPr>
            <w:r w:rsidRPr="000C59AC">
              <w:t>Do not eat or store food in the lab</w:t>
            </w:r>
            <w:r w:rsidR="007D503B" w:rsidRPr="000C59AC">
              <w:t>oratory</w:t>
            </w:r>
            <w:r w:rsidRPr="000C59AC">
              <w:t xml:space="preserve"> and do not use lab equipment for eating or drinking.</w:t>
            </w:r>
          </w:p>
        </w:tc>
      </w:tr>
      <w:tr w:rsidR="003576D5" w:rsidRPr="000C59AC" w14:paraId="724BD02C" w14:textId="77777777" w:rsidTr="003576D5">
        <w:trPr>
          <w:cantSplit/>
        </w:trPr>
        <w:tc>
          <w:tcPr>
            <w:tcW w:w="1493" w:type="dxa"/>
          </w:tcPr>
          <w:p w14:paraId="57FBAC8F" w14:textId="77777777" w:rsidR="003576D5" w:rsidRPr="000C59AC" w:rsidRDefault="003576D5" w:rsidP="00545A01">
            <w:pPr>
              <w:pStyle w:val="ListParagraph"/>
              <w:spacing w:after="60" w:line="240" w:lineRule="auto"/>
              <w:ind w:left="0"/>
              <w:jc w:val="left"/>
            </w:pPr>
          </w:p>
        </w:tc>
        <w:tc>
          <w:tcPr>
            <w:tcW w:w="861" w:type="dxa"/>
          </w:tcPr>
          <w:p w14:paraId="1EF41314" w14:textId="5ACF2643" w:rsidR="003576D5" w:rsidRPr="000C59AC" w:rsidRDefault="003576D5" w:rsidP="00545A01">
            <w:pPr>
              <w:pStyle w:val="ListParagraph"/>
              <w:spacing w:after="60" w:line="240" w:lineRule="auto"/>
              <w:ind w:left="0"/>
              <w:jc w:val="left"/>
            </w:pPr>
          </w:p>
        </w:tc>
        <w:tc>
          <w:tcPr>
            <w:tcW w:w="7853" w:type="dxa"/>
          </w:tcPr>
          <w:p w14:paraId="148CA2BC" w14:textId="30B54AD2" w:rsidR="003576D5" w:rsidRPr="000C59AC" w:rsidRDefault="003576D5" w:rsidP="00545A01">
            <w:pPr>
              <w:pStyle w:val="ListParagraph"/>
              <w:numPr>
                <w:ilvl w:val="0"/>
                <w:numId w:val="1"/>
              </w:numPr>
              <w:spacing w:line="240" w:lineRule="auto"/>
              <w:ind w:left="454" w:hanging="454"/>
              <w:contextualSpacing w:val="0"/>
            </w:pPr>
            <w:r w:rsidRPr="000C59AC">
              <w:t>Hazardous chemical waste that cannot be removed to the general sewage system (after being diluted, neutralized, etc.) shall be transferred, following inspection and coordinating with the Safety Unit, to the chemical waste store room in preparation for general transportation to the national dump site or, in special cases, to a chemical waste pit located on the University campus.</w:t>
            </w:r>
          </w:p>
        </w:tc>
      </w:tr>
      <w:tr w:rsidR="003576D5" w:rsidRPr="000C59AC" w14:paraId="0CD2D0AB" w14:textId="77777777" w:rsidTr="003576D5">
        <w:trPr>
          <w:cantSplit/>
        </w:trPr>
        <w:tc>
          <w:tcPr>
            <w:tcW w:w="1493" w:type="dxa"/>
          </w:tcPr>
          <w:p w14:paraId="1B6A5F1A" w14:textId="278A2877" w:rsidR="003576D5" w:rsidRPr="000C59AC" w:rsidRDefault="003576D5" w:rsidP="003576D5">
            <w:pPr>
              <w:pStyle w:val="ListParagraph"/>
              <w:spacing w:after="60" w:line="240" w:lineRule="auto"/>
              <w:ind w:left="0"/>
              <w:contextualSpacing w:val="0"/>
              <w:jc w:val="left"/>
            </w:pPr>
            <w:r w:rsidRPr="000C59AC">
              <w:t>Responsible for performance</w:t>
            </w:r>
          </w:p>
        </w:tc>
        <w:tc>
          <w:tcPr>
            <w:tcW w:w="861" w:type="dxa"/>
          </w:tcPr>
          <w:p w14:paraId="13762975" w14:textId="0803F8BF" w:rsidR="003576D5" w:rsidRPr="000C59AC" w:rsidRDefault="003576D5" w:rsidP="00545A01">
            <w:pPr>
              <w:pStyle w:val="ListParagraph"/>
              <w:spacing w:after="60" w:line="240" w:lineRule="auto"/>
              <w:ind w:left="0"/>
              <w:contextualSpacing w:val="0"/>
              <w:jc w:val="left"/>
            </w:pPr>
          </w:p>
        </w:tc>
        <w:tc>
          <w:tcPr>
            <w:tcW w:w="7853" w:type="dxa"/>
          </w:tcPr>
          <w:p w14:paraId="37211FEE" w14:textId="4F564FF4" w:rsidR="003576D5" w:rsidRPr="000C59AC" w:rsidRDefault="007D503B" w:rsidP="007D503B">
            <w:pPr>
              <w:pStyle w:val="ListParagraph"/>
              <w:numPr>
                <w:ilvl w:val="0"/>
                <w:numId w:val="1"/>
              </w:numPr>
              <w:spacing w:line="240" w:lineRule="auto"/>
              <w:ind w:left="454" w:hanging="454"/>
              <w:contextualSpacing w:val="0"/>
            </w:pPr>
            <w:r w:rsidRPr="000C59AC">
              <w:t xml:space="preserve">All </w:t>
            </w:r>
            <w:r w:rsidR="003576D5" w:rsidRPr="000C59AC">
              <w:t>laboratory workers and those in charge of the lab</w:t>
            </w:r>
            <w:r w:rsidR="0044423C" w:rsidRPr="000C59AC">
              <w:t xml:space="preserve">oratories are responsible for performance of these </w:t>
            </w:r>
            <w:r w:rsidR="00110B97">
              <w:t>directive</w:t>
            </w:r>
            <w:r w:rsidR="003576D5" w:rsidRPr="000C59AC">
              <w:t>s.</w:t>
            </w:r>
          </w:p>
        </w:tc>
      </w:tr>
    </w:tbl>
    <w:p w14:paraId="0E9BF67B" w14:textId="77777777" w:rsidR="001272A6" w:rsidRPr="000C59AC" w:rsidRDefault="001272A6" w:rsidP="001272A6">
      <w:pPr>
        <w:bidi w:val="0"/>
        <w:spacing w:line="276" w:lineRule="auto"/>
        <w:rPr>
          <w:rFonts w:ascii="Cambria" w:hAnsi="Cambria"/>
          <w:noProof w:val="0"/>
        </w:rPr>
      </w:pPr>
    </w:p>
    <w:p w14:paraId="104B95AB" w14:textId="77777777" w:rsidR="001272A6" w:rsidRPr="000C59AC" w:rsidRDefault="001272A6" w:rsidP="001272A6">
      <w:pPr>
        <w:bidi w:val="0"/>
        <w:spacing w:line="276" w:lineRule="auto"/>
        <w:rPr>
          <w:rFonts w:ascii="Cambria" w:hAnsi="Cambria"/>
          <w:noProof w:val="0"/>
        </w:rPr>
      </w:pPr>
    </w:p>
    <w:p w14:paraId="0C916265" w14:textId="4078672D" w:rsidR="001272A6" w:rsidRPr="000C59AC" w:rsidRDefault="001272A6" w:rsidP="001272A6">
      <w:pPr>
        <w:bidi w:val="0"/>
        <w:spacing w:after="120"/>
        <w:jc w:val="both"/>
        <w:rPr>
          <w:rFonts w:ascii="Cambria" w:hAnsi="Cambria"/>
          <w:noProof w:val="0"/>
        </w:rPr>
      </w:pPr>
    </w:p>
    <w:p w14:paraId="661B02CF" w14:textId="3547BAC2" w:rsidR="001272A6" w:rsidRPr="000C59AC" w:rsidRDefault="001272A6" w:rsidP="001272A6">
      <w:pPr>
        <w:bidi w:val="0"/>
        <w:spacing w:after="120"/>
        <w:jc w:val="both"/>
        <w:rPr>
          <w:rFonts w:ascii="Cambria" w:hAnsi="Cambria"/>
          <w:noProof w:val="0"/>
        </w:rPr>
      </w:pPr>
    </w:p>
    <w:p w14:paraId="1BD46C1C" w14:textId="3F443A86" w:rsidR="001272A6" w:rsidRPr="000C59AC" w:rsidRDefault="001272A6" w:rsidP="001272A6">
      <w:pPr>
        <w:bidi w:val="0"/>
        <w:spacing w:after="120"/>
        <w:jc w:val="both"/>
        <w:rPr>
          <w:rFonts w:ascii="Cambria" w:hAnsi="Cambria"/>
          <w:noProof w:val="0"/>
        </w:rPr>
      </w:pPr>
    </w:p>
    <w:p w14:paraId="3786040B" w14:textId="2B55D9E9" w:rsidR="001272A6" w:rsidRPr="000C59AC" w:rsidRDefault="001272A6" w:rsidP="001272A6">
      <w:pPr>
        <w:bidi w:val="0"/>
        <w:spacing w:after="120"/>
        <w:jc w:val="both"/>
        <w:rPr>
          <w:rFonts w:ascii="Cambria" w:hAnsi="Cambria"/>
          <w:noProof w:val="0"/>
        </w:rPr>
      </w:pPr>
    </w:p>
    <w:p w14:paraId="1795972A" w14:textId="562E379D" w:rsidR="001272A6" w:rsidRPr="000C59AC" w:rsidRDefault="001272A6">
      <w:pPr>
        <w:bidi w:val="0"/>
        <w:rPr>
          <w:rFonts w:ascii="Cambria" w:hAnsi="Cambria"/>
          <w:noProof w:val="0"/>
        </w:rPr>
      </w:pPr>
      <w:r w:rsidRPr="000C59AC">
        <w:rPr>
          <w:rFonts w:ascii="Cambria" w:hAnsi="Cambria"/>
          <w:noProof w:val="0"/>
        </w:rPr>
        <w:br w:type="page"/>
      </w:r>
    </w:p>
    <w:p w14:paraId="46186AA3" w14:textId="77777777" w:rsidR="001272A6" w:rsidRPr="000C59AC" w:rsidRDefault="001272A6" w:rsidP="001272A6">
      <w:pPr>
        <w:bidi w:val="0"/>
        <w:spacing w:after="120"/>
        <w:jc w:val="both"/>
        <w:rPr>
          <w:rFonts w:ascii="Cambria" w:hAnsi="Cambria"/>
          <w:noProof w:val="0"/>
        </w:rPr>
      </w:pPr>
    </w:p>
    <w:p w14:paraId="6197C89F" w14:textId="77777777" w:rsidR="001272A6" w:rsidRPr="000C59AC" w:rsidRDefault="001272A6" w:rsidP="001272A6">
      <w:pPr>
        <w:bidi w:val="0"/>
        <w:spacing w:after="120"/>
        <w:jc w:val="both"/>
        <w:rPr>
          <w:rFonts w:ascii="Cambria" w:hAnsi="Cambria"/>
          <w:noProof w:val="0"/>
        </w:rPr>
      </w:pPr>
    </w:p>
    <w:p w14:paraId="08E48B86" w14:textId="77777777" w:rsidR="00F3155C" w:rsidRPr="000C59AC" w:rsidRDefault="00F3155C">
      <w:pPr>
        <w:rPr>
          <w:noProof w:val="0"/>
        </w:rPr>
      </w:pPr>
    </w:p>
    <w:sectPr w:rsidR="00F3155C" w:rsidRPr="000C59AC">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D899" w14:textId="77777777" w:rsidR="00517E65" w:rsidRDefault="00517E65">
      <w:r>
        <w:separator/>
      </w:r>
    </w:p>
  </w:endnote>
  <w:endnote w:type="continuationSeparator" w:id="0">
    <w:p w14:paraId="5FF5BA68" w14:textId="77777777" w:rsidR="00517E65" w:rsidRDefault="005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AA258" w14:textId="77777777" w:rsidR="00517E65" w:rsidRDefault="00517E65">
      <w:r>
        <w:separator/>
      </w:r>
    </w:p>
  </w:footnote>
  <w:footnote w:type="continuationSeparator" w:id="0">
    <w:p w14:paraId="20A6D6AB" w14:textId="77777777" w:rsidR="00517E65" w:rsidRDefault="0051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115D4C91"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110B97">
            <w:rPr>
              <w:rFonts w:ascii="Cambria" w:hAnsi="Cambria"/>
              <w:b/>
              <w:bCs/>
              <w:u w:val="single"/>
            </w:rPr>
            <w:t>1</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110B97">
            <w:rPr>
              <w:rFonts w:ascii="Cambria" w:hAnsi="Cambria"/>
            </w:rPr>
            <w:t>3</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77777777"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159B4A2A" w:rsidR="001272A6" w:rsidRPr="00485037" w:rsidRDefault="001272A6" w:rsidP="001272A6">
          <w:pPr>
            <w:pStyle w:val="Header"/>
            <w:bidi w:val="0"/>
            <w:jc w:val="center"/>
            <w:rPr>
              <w:rFonts w:ascii="Cambria" w:hAnsi="Cambria"/>
            </w:rPr>
          </w:pPr>
          <w:r w:rsidRPr="00485037">
            <w:rPr>
              <w:rFonts w:ascii="Cambria" w:hAnsi="Cambria"/>
            </w:rPr>
            <w:t>07-3</w:t>
          </w:r>
          <w:r>
            <w:rPr>
              <w:rFonts w:ascii="Cambria" w:hAnsi="Cambria"/>
            </w:rPr>
            <w:t>15</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100B9"/>
    <w:rsid w:val="000C59AC"/>
    <w:rsid w:val="00110B97"/>
    <w:rsid w:val="001272A6"/>
    <w:rsid w:val="002527A5"/>
    <w:rsid w:val="00291BCF"/>
    <w:rsid w:val="00336AE6"/>
    <w:rsid w:val="003576D5"/>
    <w:rsid w:val="0044423C"/>
    <w:rsid w:val="00517E65"/>
    <w:rsid w:val="005E35E4"/>
    <w:rsid w:val="006E3598"/>
    <w:rsid w:val="007D503B"/>
    <w:rsid w:val="008F57E0"/>
    <w:rsid w:val="00AE7907"/>
    <w:rsid w:val="00F13932"/>
    <w:rsid w:val="00F3155C"/>
    <w:rsid w:val="00FB4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110</TotalTime>
  <Pages>1</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subject/>
  <dc:creator>עופר לוגסי</dc:creator>
  <cp:keywords/>
  <dc:description/>
  <cp:lastModifiedBy>Michele Sagir</cp:lastModifiedBy>
  <cp:revision>12</cp:revision>
  <cp:lastPrinted>2000-08-14T10:00:00Z</cp:lastPrinted>
  <dcterms:created xsi:type="dcterms:W3CDTF">2020-11-17T15:00:00Z</dcterms:created>
  <dcterms:modified xsi:type="dcterms:W3CDTF">2020-12-13T12:59:00Z</dcterms:modified>
</cp:coreProperties>
</file>