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645"/>
        <w:gridCol w:w="709"/>
        <w:gridCol w:w="8136"/>
      </w:tblGrid>
      <w:tr w:rsidR="00F51CBC" w:rsidRPr="00206AA0" w14:paraId="14B4FF53" w14:textId="77777777" w:rsidTr="00F51CBC">
        <w:trPr>
          <w:cantSplit/>
          <w:tblHeader/>
        </w:trPr>
        <w:tc>
          <w:tcPr>
            <w:tcW w:w="1645" w:type="dxa"/>
          </w:tcPr>
          <w:p w14:paraId="2BB97D19" w14:textId="2EA03688" w:rsidR="00F51CBC" w:rsidRPr="00206AA0" w:rsidRDefault="00F51CBC" w:rsidP="00F51CBC">
            <w:pPr>
              <w:pStyle w:val="ListParagraph"/>
              <w:spacing w:after="60" w:line="240" w:lineRule="auto"/>
              <w:ind w:left="0"/>
              <w:contextualSpacing w:val="0"/>
              <w:jc w:val="left"/>
            </w:pPr>
            <w:r w:rsidRPr="00206AA0">
              <w:t>Name of Appendix:</w:t>
            </w:r>
          </w:p>
        </w:tc>
        <w:tc>
          <w:tcPr>
            <w:tcW w:w="8845" w:type="dxa"/>
            <w:gridSpan w:val="2"/>
          </w:tcPr>
          <w:p w14:paraId="467BC157" w14:textId="52809593" w:rsidR="00F51CBC" w:rsidRPr="00206AA0" w:rsidRDefault="00F51CBC" w:rsidP="00F51CBC">
            <w:pPr>
              <w:bidi w:val="0"/>
              <w:ind w:left="360"/>
              <w:rPr>
                <w:rFonts w:ascii="Cambria" w:hAnsi="Cambria"/>
                <w:b/>
                <w:bCs/>
                <w:noProof w:val="0"/>
                <w:u w:val="single"/>
              </w:rPr>
            </w:pPr>
            <w:r w:rsidRPr="00206AA0">
              <w:rPr>
                <w:rFonts w:ascii="Cambria" w:hAnsi="Cambria"/>
                <w:b/>
                <w:bCs/>
                <w:noProof w:val="0"/>
                <w:u w:val="single"/>
              </w:rPr>
              <w:t>Safety in autogenous welding and cutting works</w:t>
            </w:r>
          </w:p>
        </w:tc>
      </w:tr>
      <w:tr w:rsidR="00F51CBC" w:rsidRPr="00206AA0" w14:paraId="2A8C9AF0" w14:textId="77777777" w:rsidTr="00F51CBC">
        <w:trPr>
          <w:cantSplit/>
        </w:trPr>
        <w:tc>
          <w:tcPr>
            <w:tcW w:w="1645" w:type="dxa"/>
          </w:tcPr>
          <w:p w14:paraId="3D821CE3" w14:textId="19613163" w:rsidR="00F51CBC" w:rsidRPr="00206AA0" w:rsidRDefault="00F51CBC" w:rsidP="00155F97">
            <w:pPr>
              <w:pStyle w:val="ListParagraph"/>
              <w:spacing w:after="60" w:line="240" w:lineRule="auto"/>
              <w:ind w:left="0"/>
              <w:jc w:val="left"/>
            </w:pPr>
            <w:bookmarkStart w:id="0" w:name="_GoBack" w:colFirst="2" w:colLast="3"/>
            <w:r w:rsidRPr="00206AA0">
              <w:t xml:space="preserve">Safety </w:t>
            </w:r>
            <w:r w:rsidR="00155F97">
              <w:t>directives</w:t>
            </w:r>
          </w:p>
        </w:tc>
        <w:tc>
          <w:tcPr>
            <w:tcW w:w="709" w:type="dxa"/>
          </w:tcPr>
          <w:p w14:paraId="7EB3C906" w14:textId="00B4D3F4"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5233DC05" w14:textId="5358D772" w:rsidR="00F51CBC" w:rsidRPr="00206AA0" w:rsidRDefault="00F51CBC" w:rsidP="00155F97">
            <w:pPr>
              <w:bidi w:val="0"/>
              <w:spacing w:after="120" w:line="276" w:lineRule="auto"/>
              <w:rPr>
                <w:rFonts w:ascii="Cambria" w:hAnsi="Cambria"/>
                <w:noProof w:val="0"/>
              </w:rPr>
            </w:pPr>
            <w:r w:rsidRPr="00206AA0">
              <w:rPr>
                <w:rFonts w:ascii="Cambria" w:hAnsi="Cambria"/>
                <w:noProof w:val="0"/>
              </w:rPr>
              <w:t>Reserve canisters of oxygen and acetylene that are not being used for work should be stored in a ventilated place that is far from heat sources, the sun’s rays and increased fire risk.  In places where welding gas canisters are stored, smoking is absolutely prohibited.</w:t>
            </w:r>
          </w:p>
        </w:tc>
      </w:tr>
      <w:tr w:rsidR="00F51CBC" w:rsidRPr="00206AA0" w14:paraId="48553889" w14:textId="77777777" w:rsidTr="00F51CBC">
        <w:trPr>
          <w:cantSplit/>
        </w:trPr>
        <w:tc>
          <w:tcPr>
            <w:tcW w:w="1645" w:type="dxa"/>
          </w:tcPr>
          <w:p w14:paraId="3FEF4868" w14:textId="77777777" w:rsidR="00F51CBC" w:rsidRPr="00206AA0" w:rsidRDefault="00F51CBC" w:rsidP="000755EA">
            <w:pPr>
              <w:pStyle w:val="ListParagraph"/>
              <w:spacing w:after="60" w:line="240" w:lineRule="auto"/>
              <w:ind w:left="0"/>
              <w:jc w:val="left"/>
            </w:pPr>
          </w:p>
        </w:tc>
        <w:tc>
          <w:tcPr>
            <w:tcW w:w="709" w:type="dxa"/>
          </w:tcPr>
          <w:p w14:paraId="6F20AAF9" w14:textId="4543016B"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6EEAFF68" w14:textId="48D04891" w:rsidR="00F51CBC" w:rsidRPr="00206AA0" w:rsidRDefault="00F51CBC" w:rsidP="00155F97">
            <w:pPr>
              <w:bidi w:val="0"/>
              <w:spacing w:after="120" w:line="276" w:lineRule="auto"/>
              <w:rPr>
                <w:rFonts w:ascii="Cambria" w:hAnsi="Cambria"/>
                <w:noProof w:val="0"/>
              </w:rPr>
            </w:pPr>
            <w:r w:rsidRPr="00206AA0">
              <w:rPr>
                <w:rFonts w:ascii="Cambria" w:hAnsi="Cambria"/>
                <w:noProof w:val="0"/>
              </w:rPr>
              <w:t>Acetylene canisters should be stored standing upright.  If an acetylene canister was stored lying down, it should be placed upright at least half an hour before being used.</w:t>
            </w:r>
          </w:p>
        </w:tc>
      </w:tr>
      <w:tr w:rsidR="00F51CBC" w:rsidRPr="00206AA0" w14:paraId="16F5082F" w14:textId="77777777" w:rsidTr="00F51CBC">
        <w:trPr>
          <w:cantSplit/>
        </w:trPr>
        <w:tc>
          <w:tcPr>
            <w:tcW w:w="1645" w:type="dxa"/>
          </w:tcPr>
          <w:p w14:paraId="2D45FD56" w14:textId="77777777" w:rsidR="00F51CBC" w:rsidRPr="00206AA0" w:rsidRDefault="00F51CBC" w:rsidP="000755EA">
            <w:pPr>
              <w:pStyle w:val="ListParagraph"/>
              <w:spacing w:after="60" w:line="240" w:lineRule="auto"/>
              <w:ind w:left="0"/>
              <w:jc w:val="left"/>
            </w:pPr>
          </w:p>
        </w:tc>
        <w:tc>
          <w:tcPr>
            <w:tcW w:w="709" w:type="dxa"/>
          </w:tcPr>
          <w:p w14:paraId="46FF1665" w14:textId="50DF9AE4"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430AF8BB" w14:textId="2F84BF07" w:rsidR="00F51CBC" w:rsidRPr="00206AA0" w:rsidRDefault="00F51CBC" w:rsidP="00155F97">
            <w:pPr>
              <w:bidi w:val="0"/>
              <w:spacing w:after="120" w:line="276" w:lineRule="auto"/>
              <w:rPr>
                <w:rFonts w:ascii="Cambria" w:hAnsi="Cambria"/>
                <w:noProof w:val="0"/>
              </w:rPr>
            </w:pPr>
            <w:r w:rsidRPr="00206AA0">
              <w:rPr>
                <w:rFonts w:ascii="Cambria" w:hAnsi="Cambria"/>
                <w:noProof w:val="0"/>
              </w:rPr>
              <w:t>Ensure that welding gas canisters do not fall or receive any kind of blows.  Store and transport gas canisters only if they are equipped with a protective cap screwed on top of the valve.</w:t>
            </w:r>
          </w:p>
        </w:tc>
      </w:tr>
      <w:tr w:rsidR="00F51CBC" w:rsidRPr="00206AA0" w14:paraId="142DB465" w14:textId="77777777" w:rsidTr="00F51CBC">
        <w:trPr>
          <w:cantSplit/>
        </w:trPr>
        <w:tc>
          <w:tcPr>
            <w:tcW w:w="1645" w:type="dxa"/>
          </w:tcPr>
          <w:p w14:paraId="09385348" w14:textId="77777777" w:rsidR="00F51CBC" w:rsidRPr="00206AA0" w:rsidRDefault="00F51CBC" w:rsidP="000755EA">
            <w:pPr>
              <w:pStyle w:val="ListParagraph"/>
              <w:spacing w:after="60" w:line="240" w:lineRule="auto"/>
              <w:ind w:left="0"/>
              <w:jc w:val="left"/>
            </w:pPr>
          </w:p>
        </w:tc>
        <w:tc>
          <w:tcPr>
            <w:tcW w:w="709" w:type="dxa"/>
          </w:tcPr>
          <w:p w14:paraId="5D4D8EBE" w14:textId="20702496"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0369FD79" w14:textId="197C6EF0" w:rsidR="00F51CBC" w:rsidRPr="00206AA0" w:rsidRDefault="00F51CBC" w:rsidP="00155F97">
            <w:pPr>
              <w:bidi w:val="0"/>
              <w:spacing w:after="120" w:line="276" w:lineRule="auto"/>
              <w:rPr>
                <w:rFonts w:ascii="Cambria" w:hAnsi="Cambria"/>
                <w:noProof w:val="0"/>
              </w:rPr>
            </w:pPr>
            <w:r w:rsidRPr="00206AA0">
              <w:rPr>
                <w:rFonts w:ascii="Cambria" w:hAnsi="Cambria"/>
                <w:noProof w:val="0"/>
              </w:rPr>
              <w:t>When handling oxygen canisters, be sure there is no oil on your hands or on your clothes.  Be sure that oils and grease, even in minimal amounts, do not come into contact with oxygen gas as this will cause an explosion.</w:t>
            </w:r>
          </w:p>
        </w:tc>
      </w:tr>
      <w:tr w:rsidR="00F51CBC" w:rsidRPr="00206AA0" w14:paraId="5AF6746F" w14:textId="77777777" w:rsidTr="00F51CBC">
        <w:trPr>
          <w:cantSplit/>
        </w:trPr>
        <w:tc>
          <w:tcPr>
            <w:tcW w:w="1645" w:type="dxa"/>
          </w:tcPr>
          <w:p w14:paraId="5E3E8B3A" w14:textId="77777777" w:rsidR="00F51CBC" w:rsidRPr="00206AA0" w:rsidRDefault="00F51CBC" w:rsidP="000755EA">
            <w:pPr>
              <w:pStyle w:val="ListParagraph"/>
              <w:spacing w:after="60" w:line="240" w:lineRule="auto"/>
              <w:ind w:left="0"/>
              <w:jc w:val="left"/>
            </w:pPr>
          </w:p>
        </w:tc>
        <w:tc>
          <w:tcPr>
            <w:tcW w:w="709" w:type="dxa"/>
          </w:tcPr>
          <w:p w14:paraId="7EC9C6EA" w14:textId="71B8EBE4"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1DE0FA7E" w14:textId="4090B600" w:rsidR="00F51CBC" w:rsidRPr="00206AA0" w:rsidRDefault="00F51CBC" w:rsidP="00155F97">
            <w:pPr>
              <w:bidi w:val="0"/>
              <w:spacing w:after="120" w:line="276" w:lineRule="auto"/>
              <w:rPr>
                <w:rFonts w:ascii="Cambria" w:hAnsi="Cambria"/>
                <w:noProof w:val="0"/>
              </w:rPr>
            </w:pPr>
            <w:r w:rsidRPr="00206AA0">
              <w:rPr>
                <w:rFonts w:ascii="Cambria" w:hAnsi="Cambria"/>
                <w:noProof w:val="0"/>
              </w:rPr>
              <w:t>Gas canister valves must be opened slowly.  The valve keys should be left near the gas canister when using it, to enable quick closure in an emergency.</w:t>
            </w:r>
          </w:p>
        </w:tc>
      </w:tr>
      <w:tr w:rsidR="00F51CBC" w:rsidRPr="00206AA0" w14:paraId="0616004E" w14:textId="77777777" w:rsidTr="00F51CBC">
        <w:trPr>
          <w:cantSplit/>
        </w:trPr>
        <w:tc>
          <w:tcPr>
            <w:tcW w:w="1645" w:type="dxa"/>
          </w:tcPr>
          <w:p w14:paraId="120C0217" w14:textId="77777777" w:rsidR="00F51CBC" w:rsidRPr="00206AA0" w:rsidRDefault="00F51CBC" w:rsidP="000755EA">
            <w:pPr>
              <w:pStyle w:val="ListParagraph"/>
              <w:spacing w:after="60" w:line="240" w:lineRule="auto"/>
              <w:ind w:left="0"/>
              <w:jc w:val="left"/>
            </w:pPr>
          </w:p>
        </w:tc>
        <w:tc>
          <w:tcPr>
            <w:tcW w:w="709" w:type="dxa"/>
          </w:tcPr>
          <w:p w14:paraId="183791DE" w14:textId="0A8B0358"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26E3A3F7" w14:textId="7F696491" w:rsidR="00F51CBC" w:rsidRPr="00206AA0" w:rsidRDefault="00F51CBC" w:rsidP="00155F97">
            <w:pPr>
              <w:bidi w:val="0"/>
              <w:spacing w:after="120" w:line="276" w:lineRule="auto"/>
              <w:rPr>
                <w:rFonts w:ascii="Cambria" w:hAnsi="Cambria"/>
                <w:noProof w:val="0"/>
              </w:rPr>
            </w:pPr>
            <w:r w:rsidRPr="00206AA0">
              <w:rPr>
                <w:rFonts w:ascii="Cambria" w:hAnsi="Cambria"/>
                <w:noProof w:val="0"/>
              </w:rPr>
              <w:t>As soon as you are finished using the canister – shut the valve and release the pressure from the entire system (tube regulator and burner).</w:t>
            </w:r>
          </w:p>
        </w:tc>
      </w:tr>
      <w:tr w:rsidR="00F51CBC" w:rsidRPr="00206AA0" w14:paraId="1A915AE3" w14:textId="77777777" w:rsidTr="00F51CBC">
        <w:trPr>
          <w:cantSplit/>
        </w:trPr>
        <w:tc>
          <w:tcPr>
            <w:tcW w:w="1645" w:type="dxa"/>
          </w:tcPr>
          <w:p w14:paraId="6F78DB89" w14:textId="77777777" w:rsidR="00F51CBC" w:rsidRPr="00206AA0" w:rsidRDefault="00F51CBC" w:rsidP="000755EA">
            <w:pPr>
              <w:pStyle w:val="ListParagraph"/>
              <w:spacing w:after="60" w:line="240" w:lineRule="auto"/>
              <w:ind w:left="0"/>
              <w:jc w:val="left"/>
            </w:pPr>
          </w:p>
        </w:tc>
        <w:tc>
          <w:tcPr>
            <w:tcW w:w="709" w:type="dxa"/>
          </w:tcPr>
          <w:p w14:paraId="25770C17" w14:textId="0C17287C"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631793E3" w14:textId="1006DCA0" w:rsidR="00F51CBC" w:rsidRPr="00206AA0" w:rsidRDefault="00F51CBC" w:rsidP="00155F97">
            <w:pPr>
              <w:bidi w:val="0"/>
              <w:spacing w:after="120" w:line="276" w:lineRule="auto"/>
              <w:rPr>
                <w:rFonts w:ascii="Cambria" w:hAnsi="Cambria"/>
                <w:noProof w:val="0"/>
              </w:rPr>
            </w:pPr>
            <w:r w:rsidRPr="00206AA0">
              <w:rPr>
                <w:rFonts w:ascii="Cambria" w:hAnsi="Cambria"/>
                <w:noProof w:val="0"/>
              </w:rPr>
              <w:t>In the event of a fire near welding gas canisters, close the canister valves and move them away from the danger zone, if this is possible.</w:t>
            </w:r>
          </w:p>
        </w:tc>
      </w:tr>
      <w:tr w:rsidR="00F51CBC" w:rsidRPr="00206AA0" w14:paraId="13FB7407" w14:textId="77777777" w:rsidTr="00F51CBC">
        <w:trPr>
          <w:cantSplit/>
        </w:trPr>
        <w:tc>
          <w:tcPr>
            <w:tcW w:w="1645" w:type="dxa"/>
          </w:tcPr>
          <w:p w14:paraId="08D5C5EF" w14:textId="77777777" w:rsidR="00F51CBC" w:rsidRPr="00206AA0" w:rsidRDefault="00F51CBC" w:rsidP="000755EA">
            <w:pPr>
              <w:pStyle w:val="ListParagraph"/>
              <w:spacing w:after="60" w:line="240" w:lineRule="auto"/>
              <w:ind w:left="0"/>
              <w:jc w:val="left"/>
            </w:pPr>
          </w:p>
        </w:tc>
        <w:tc>
          <w:tcPr>
            <w:tcW w:w="709" w:type="dxa"/>
          </w:tcPr>
          <w:p w14:paraId="2B71CBFC" w14:textId="79F360CE"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47AB5C29" w14:textId="2E34ABDC" w:rsidR="00F51CBC" w:rsidRPr="00206AA0" w:rsidRDefault="00F51CBC" w:rsidP="00155F97">
            <w:pPr>
              <w:bidi w:val="0"/>
              <w:spacing w:after="120" w:line="276" w:lineRule="auto"/>
              <w:rPr>
                <w:rFonts w:ascii="Cambria" w:hAnsi="Cambria"/>
                <w:noProof w:val="0"/>
              </w:rPr>
            </w:pPr>
            <w:r w:rsidRPr="00206AA0">
              <w:rPr>
                <w:rFonts w:ascii="Cambria" w:hAnsi="Cambria"/>
                <w:noProof w:val="0"/>
              </w:rPr>
              <w:t>If acetylene gas catches fire after escaping from a canister whose valve was not closed, it should be put out using a powder fire extinguisher, gas extinguisher, or by cooling the canister with streams of water. In case of extreme danger, warn those who are exposed to risk and take cover.</w:t>
            </w:r>
          </w:p>
        </w:tc>
      </w:tr>
      <w:tr w:rsidR="00F51CBC" w:rsidRPr="00206AA0" w14:paraId="01128F81" w14:textId="77777777" w:rsidTr="00F51CBC">
        <w:trPr>
          <w:cantSplit/>
        </w:trPr>
        <w:tc>
          <w:tcPr>
            <w:tcW w:w="1645" w:type="dxa"/>
          </w:tcPr>
          <w:p w14:paraId="79096EFA" w14:textId="77777777" w:rsidR="00F51CBC" w:rsidRPr="00206AA0" w:rsidRDefault="00F51CBC" w:rsidP="000755EA">
            <w:pPr>
              <w:pStyle w:val="ListParagraph"/>
              <w:spacing w:after="60" w:line="240" w:lineRule="auto"/>
              <w:ind w:left="0"/>
              <w:jc w:val="left"/>
            </w:pPr>
          </w:p>
        </w:tc>
        <w:tc>
          <w:tcPr>
            <w:tcW w:w="709" w:type="dxa"/>
          </w:tcPr>
          <w:p w14:paraId="0097B908" w14:textId="5545FD0B"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57A21BD5" w14:textId="00EF0CC0" w:rsidR="00F51CBC" w:rsidRPr="00206AA0" w:rsidRDefault="00F51CBC" w:rsidP="00155F97">
            <w:pPr>
              <w:bidi w:val="0"/>
              <w:spacing w:after="120" w:line="276" w:lineRule="auto"/>
              <w:rPr>
                <w:rFonts w:ascii="Cambria" w:hAnsi="Cambria"/>
                <w:noProof w:val="0"/>
              </w:rPr>
            </w:pPr>
            <w:r w:rsidRPr="00206AA0">
              <w:rPr>
                <w:rFonts w:ascii="Cambria" w:hAnsi="Cambria"/>
                <w:noProof w:val="0"/>
              </w:rPr>
              <w:t xml:space="preserve">Use only regulators and pressure gauges designed for the gas you are using.  Before attaching the regulator to the canister, clean the </w:t>
            </w:r>
            <w:r w:rsidR="00B923B7" w:rsidRPr="00206AA0">
              <w:rPr>
                <w:rFonts w:ascii="Cambria" w:hAnsi="Cambria"/>
                <w:noProof w:val="0"/>
              </w:rPr>
              <w:t xml:space="preserve">dust from the </w:t>
            </w:r>
            <w:r w:rsidRPr="00206AA0">
              <w:rPr>
                <w:rFonts w:ascii="Cambria" w:hAnsi="Cambria"/>
                <w:noProof w:val="0"/>
              </w:rPr>
              <w:t>valve by opening and closing it, quickly and briefly.</w:t>
            </w:r>
          </w:p>
        </w:tc>
      </w:tr>
      <w:tr w:rsidR="00F51CBC" w:rsidRPr="00206AA0" w14:paraId="58A35E1A" w14:textId="77777777" w:rsidTr="00F51CBC">
        <w:trPr>
          <w:cantSplit/>
        </w:trPr>
        <w:tc>
          <w:tcPr>
            <w:tcW w:w="1645" w:type="dxa"/>
          </w:tcPr>
          <w:p w14:paraId="71E76621" w14:textId="77777777" w:rsidR="00F51CBC" w:rsidRPr="00206AA0" w:rsidRDefault="00F51CBC" w:rsidP="000755EA">
            <w:pPr>
              <w:pStyle w:val="ListParagraph"/>
              <w:spacing w:after="60" w:line="240" w:lineRule="auto"/>
              <w:ind w:left="0"/>
              <w:jc w:val="left"/>
            </w:pPr>
          </w:p>
        </w:tc>
        <w:tc>
          <w:tcPr>
            <w:tcW w:w="709" w:type="dxa"/>
          </w:tcPr>
          <w:p w14:paraId="103EF638" w14:textId="7A002063"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5A786ABB" w14:textId="3987CEED" w:rsidR="00F51CBC" w:rsidRPr="00206AA0" w:rsidRDefault="00F51CBC" w:rsidP="00155F97">
            <w:pPr>
              <w:bidi w:val="0"/>
              <w:spacing w:after="120" w:line="276" w:lineRule="auto"/>
              <w:rPr>
                <w:rFonts w:ascii="Cambria" w:hAnsi="Cambria"/>
                <w:noProof w:val="0"/>
              </w:rPr>
            </w:pPr>
            <w:r w:rsidRPr="00206AA0">
              <w:rPr>
                <w:rFonts w:ascii="Cambria" w:hAnsi="Cambria"/>
                <w:noProof w:val="0"/>
              </w:rPr>
              <w:t xml:space="preserve">Repairing the pressure regulator for the welding systems is not the job of the welder – unless he has been specifically trained to do so.  In case of a malfunction, the damaged parts should be sent for professional, qualified repair.  Leaks of welding gas can be identified using soapy water (not using a flame). </w:t>
            </w:r>
          </w:p>
        </w:tc>
      </w:tr>
      <w:tr w:rsidR="00F51CBC" w:rsidRPr="00206AA0" w14:paraId="5F7A10CA" w14:textId="77777777" w:rsidTr="00F51CBC">
        <w:trPr>
          <w:cantSplit/>
        </w:trPr>
        <w:tc>
          <w:tcPr>
            <w:tcW w:w="1645" w:type="dxa"/>
          </w:tcPr>
          <w:p w14:paraId="2F736BED" w14:textId="77777777" w:rsidR="00F51CBC" w:rsidRPr="00206AA0" w:rsidRDefault="00F51CBC" w:rsidP="000755EA">
            <w:pPr>
              <w:pStyle w:val="ListParagraph"/>
              <w:spacing w:after="60" w:line="240" w:lineRule="auto"/>
              <w:ind w:left="0"/>
              <w:jc w:val="left"/>
            </w:pPr>
          </w:p>
        </w:tc>
        <w:tc>
          <w:tcPr>
            <w:tcW w:w="709" w:type="dxa"/>
          </w:tcPr>
          <w:p w14:paraId="056F72DD" w14:textId="3D0CCF24"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1F962E47" w14:textId="09C67371" w:rsidR="00F51CBC" w:rsidRPr="00206AA0" w:rsidRDefault="00F51CBC" w:rsidP="00155F97">
            <w:pPr>
              <w:bidi w:val="0"/>
              <w:spacing w:after="120" w:line="276" w:lineRule="auto"/>
              <w:rPr>
                <w:rFonts w:ascii="Cambria" w:hAnsi="Cambria"/>
                <w:noProof w:val="0"/>
              </w:rPr>
            </w:pPr>
            <w:r w:rsidRPr="00206AA0">
              <w:rPr>
                <w:rFonts w:ascii="Cambria" w:hAnsi="Cambria"/>
                <w:noProof w:val="0"/>
              </w:rPr>
              <w:t>When using a new (flexible) pipe for welding work, it should be cleaned with low-pressure compressed air (about half an atmosphere) before its first use.</w:t>
            </w:r>
          </w:p>
        </w:tc>
      </w:tr>
      <w:tr w:rsidR="00F51CBC" w:rsidRPr="00206AA0" w14:paraId="7E5684A7" w14:textId="77777777" w:rsidTr="00F51CBC">
        <w:trPr>
          <w:cantSplit/>
        </w:trPr>
        <w:tc>
          <w:tcPr>
            <w:tcW w:w="1645" w:type="dxa"/>
          </w:tcPr>
          <w:p w14:paraId="0C2686C4" w14:textId="77777777" w:rsidR="00F51CBC" w:rsidRPr="00206AA0" w:rsidRDefault="00F51CBC" w:rsidP="000755EA">
            <w:pPr>
              <w:pStyle w:val="ListParagraph"/>
              <w:spacing w:after="60" w:line="240" w:lineRule="auto"/>
              <w:ind w:left="0"/>
              <w:jc w:val="left"/>
            </w:pPr>
          </w:p>
        </w:tc>
        <w:tc>
          <w:tcPr>
            <w:tcW w:w="709" w:type="dxa"/>
          </w:tcPr>
          <w:p w14:paraId="663927B6" w14:textId="62C073C7"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39B560FC" w14:textId="3B3BD879" w:rsidR="00F51CBC" w:rsidRPr="00206AA0" w:rsidRDefault="00F51CBC" w:rsidP="00155F97">
            <w:pPr>
              <w:bidi w:val="0"/>
              <w:spacing w:after="120" w:line="276" w:lineRule="auto"/>
              <w:rPr>
                <w:rFonts w:ascii="Cambria" w:hAnsi="Cambria"/>
                <w:noProof w:val="0"/>
              </w:rPr>
            </w:pPr>
            <w:r w:rsidRPr="00206AA0">
              <w:rPr>
                <w:rFonts w:ascii="Cambria" w:hAnsi="Cambria"/>
                <w:noProof w:val="0"/>
              </w:rPr>
              <w:t>Use suitable clamps for flexible pipe connections – do not rub screws and connections of an autogenous welding system with oil or any greasy substance whatsoever.  Under no circumstances may you use tubes that were used with acetylene for oxygen, and vice versa.</w:t>
            </w:r>
          </w:p>
        </w:tc>
      </w:tr>
      <w:tr w:rsidR="00F51CBC" w:rsidRPr="00206AA0" w14:paraId="107161C3" w14:textId="77777777" w:rsidTr="00F51CBC">
        <w:trPr>
          <w:cantSplit/>
        </w:trPr>
        <w:tc>
          <w:tcPr>
            <w:tcW w:w="1645" w:type="dxa"/>
          </w:tcPr>
          <w:p w14:paraId="3C7EAD05" w14:textId="77777777" w:rsidR="00F51CBC" w:rsidRPr="00206AA0" w:rsidRDefault="00F51CBC" w:rsidP="000755EA">
            <w:pPr>
              <w:pStyle w:val="ListParagraph"/>
              <w:spacing w:after="60" w:line="240" w:lineRule="auto"/>
              <w:ind w:left="0"/>
              <w:jc w:val="left"/>
            </w:pPr>
          </w:p>
        </w:tc>
        <w:tc>
          <w:tcPr>
            <w:tcW w:w="709" w:type="dxa"/>
          </w:tcPr>
          <w:p w14:paraId="1070F507" w14:textId="4EEB85F3"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5874B5DA" w14:textId="36F0CA1F" w:rsidR="00F51CBC" w:rsidRPr="00206AA0" w:rsidRDefault="00F51CBC" w:rsidP="00155F97">
            <w:pPr>
              <w:bidi w:val="0"/>
              <w:spacing w:after="120" w:line="276" w:lineRule="auto"/>
              <w:rPr>
                <w:rFonts w:ascii="Cambria" w:hAnsi="Cambria"/>
                <w:noProof w:val="0"/>
              </w:rPr>
            </w:pPr>
            <w:r w:rsidRPr="00206AA0">
              <w:rPr>
                <w:rFonts w:ascii="Cambria" w:hAnsi="Cambria"/>
                <w:noProof w:val="0"/>
              </w:rPr>
              <w:t>The burner should be lit with a special lighter device, and not with a match or other open flame source.</w:t>
            </w:r>
          </w:p>
        </w:tc>
      </w:tr>
      <w:tr w:rsidR="00F51CBC" w:rsidRPr="00206AA0" w14:paraId="04FCFFD8" w14:textId="77777777" w:rsidTr="00F51CBC">
        <w:trPr>
          <w:cantSplit/>
        </w:trPr>
        <w:tc>
          <w:tcPr>
            <w:tcW w:w="1645" w:type="dxa"/>
          </w:tcPr>
          <w:p w14:paraId="0169B258" w14:textId="77777777" w:rsidR="00F51CBC" w:rsidRPr="00206AA0" w:rsidRDefault="00F51CBC" w:rsidP="000755EA">
            <w:pPr>
              <w:pStyle w:val="ListParagraph"/>
              <w:spacing w:after="60" w:line="240" w:lineRule="auto"/>
              <w:ind w:left="0"/>
              <w:jc w:val="left"/>
            </w:pPr>
          </w:p>
        </w:tc>
        <w:tc>
          <w:tcPr>
            <w:tcW w:w="709" w:type="dxa"/>
          </w:tcPr>
          <w:p w14:paraId="5D67DE17" w14:textId="7F9139F7"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74C00141" w14:textId="1450F299" w:rsidR="00F51CBC" w:rsidRPr="00206AA0" w:rsidRDefault="00F51CBC" w:rsidP="00155F97">
            <w:pPr>
              <w:bidi w:val="0"/>
              <w:spacing w:after="120" w:line="276" w:lineRule="auto"/>
              <w:rPr>
                <w:rFonts w:ascii="Cambria" w:hAnsi="Cambria"/>
                <w:noProof w:val="0"/>
              </w:rPr>
            </w:pPr>
            <w:r w:rsidRPr="00206AA0">
              <w:rPr>
                <w:rFonts w:ascii="Cambria" w:hAnsi="Cambria"/>
                <w:noProof w:val="0"/>
              </w:rPr>
              <w:t>After welding do not leave a burning or hot burner, or any other hot object, unsupervised.</w:t>
            </w:r>
          </w:p>
        </w:tc>
      </w:tr>
      <w:tr w:rsidR="00F51CBC" w:rsidRPr="00206AA0" w14:paraId="00AFB56E" w14:textId="77777777" w:rsidTr="00F51CBC">
        <w:trPr>
          <w:cantSplit/>
        </w:trPr>
        <w:tc>
          <w:tcPr>
            <w:tcW w:w="1645" w:type="dxa"/>
          </w:tcPr>
          <w:p w14:paraId="0C1E4030" w14:textId="77777777" w:rsidR="00F51CBC" w:rsidRPr="00206AA0" w:rsidRDefault="00F51CBC" w:rsidP="000755EA">
            <w:pPr>
              <w:pStyle w:val="ListParagraph"/>
              <w:spacing w:after="60" w:line="240" w:lineRule="auto"/>
              <w:ind w:left="0"/>
              <w:jc w:val="left"/>
            </w:pPr>
          </w:p>
        </w:tc>
        <w:tc>
          <w:tcPr>
            <w:tcW w:w="709" w:type="dxa"/>
          </w:tcPr>
          <w:p w14:paraId="62B03902" w14:textId="483DF64A"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1D87E02C" w14:textId="45D119E8" w:rsidR="00F51CBC" w:rsidRPr="00206AA0" w:rsidRDefault="00F51CBC" w:rsidP="00155F97">
            <w:pPr>
              <w:bidi w:val="0"/>
              <w:spacing w:after="120" w:line="276" w:lineRule="auto"/>
              <w:rPr>
                <w:rFonts w:ascii="Cambria" w:hAnsi="Cambria"/>
                <w:noProof w:val="0"/>
              </w:rPr>
            </w:pPr>
            <w:r w:rsidRPr="00206AA0">
              <w:rPr>
                <w:rFonts w:ascii="Cambria" w:hAnsi="Cambria"/>
                <w:noProof w:val="0"/>
              </w:rPr>
              <w:t>Before any welding or autogenous cutting work, particularly outside the workshop, check the surrounding area and make sure that the welding work will not cause a fire or explosion because of its proximity to hazardous materials.  Based on the circumstances, use protective screens made of non-flammable materials and prepare fire-fighting equipment.</w:t>
            </w:r>
          </w:p>
        </w:tc>
      </w:tr>
      <w:tr w:rsidR="00F51CBC" w:rsidRPr="00206AA0" w14:paraId="7CC4D8CA" w14:textId="77777777" w:rsidTr="00F51CBC">
        <w:trPr>
          <w:cantSplit/>
        </w:trPr>
        <w:tc>
          <w:tcPr>
            <w:tcW w:w="1645" w:type="dxa"/>
          </w:tcPr>
          <w:p w14:paraId="42B581B6" w14:textId="77777777" w:rsidR="00F51CBC" w:rsidRPr="00206AA0" w:rsidRDefault="00F51CBC" w:rsidP="000755EA">
            <w:pPr>
              <w:pStyle w:val="ListParagraph"/>
              <w:spacing w:after="60" w:line="240" w:lineRule="auto"/>
              <w:ind w:left="0"/>
              <w:jc w:val="left"/>
            </w:pPr>
          </w:p>
        </w:tc>
        <w:tc>
          <w:tcPr>
            <w:tcW w:w="709" w:type="dxa"/>
          </w:tcPr>
          <w:p w14:paraId="697C7E54" w14:textId="2499FE17"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680757EC" w14:textId="46D53C94" w:rsidR="00F51CBC" w:rsidRPr="00206AA0" w:rsidRDefault="00F51CBC" w:rsidP="00155F97">
            <w:pPr>
              <w:bidi w:val="0"/>
              <w:spacing w:after="120" w:line="276" w:lineRule="auto"/>
              <w:rPr>
                <w:rFonts w:ascii="Cambria" w:hAnsi="Cambria"/>
                <w:noProof w:val="0"/>
              </w:rPr>
            </w:pPr>
            <w:r w:rsidRPr="00206AA0">
              <w:rPr>
                <w:rFonts w:ascii="Cambria" w:hAnsi="Cambria"/>
                <w:noProof w:val="0"/>
              </w:rPr>
              <w:t>Suitable protective goggles for welding and cutting work are required, as is inspecting the quality of the welding and other ancillary works.</w:t>
            </w:r>
          </w:p>
        </w:tc>
      </w:tr>
      <w:tr w:rsidR="00F51CBC" w:rsidRPr="00206AA0" w14:paraId="013039DD" w14:textId="77777777" w:rsidTr="00F51CBC">
        <w:trPr>
          <w:cantSplit/>
        </w:trPr>
        <w:tc>
          <w:tcPr>
            <w:tcW w:w="1645" w:type="dxa"/>
          </w:tcPr>
          <w:p w14:paraId="596F79A1" w14:textId="77777777" w:rsidR="00F51CBC" w:rsidRPr="00206AA0" w:rsidRDefault="00F51CBC" w:rsidP="000755EA">
            <w:pPr>
              <w:pStyle w:val="ListParagraph"/>
              <w:spacing w:after="60" w:line="240" w:lineRule="auto"/>
              <w:ind w:left="0"/>
              <w:jc w:val="left"/>
            </w:pPr>
          </w:p>
        </w:tc>
        <w:tc>
          <w:tcPr>
            <w:tcW w:w="709" w:type="dxa"/>
          </w:tcPr>
          <w:p w14:paraId="05AB6795" w14:textId="4F004BF9"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1BB1705C" w14:textId="5AE96F7A" w:rsidR="00F51CBC" w:rsidRPr="00206AA0" w:rsidRDefault="00F51CBC" w:rsidP="00155F97">
            <w:pPr>
              <w:bidi w:val="0"/>
              <w:spacing w:after="120" w:line="276" w:lineRule="auto"/>
              <w:rPr>
                <w:rFonts w:ascii="Cambria" w:hAnsi="Cambria"/>
                <w:noProof w:val="0"/>
              </w:rPr>
            </w:pPr>
            <w:r w:rsidRPr="00206AA0">
              <w:rPr>
                <w:rFonts w:ascii="Cambria" w:hAnsi="Cambria"/>
                <w:noProof w:val="0"/>
              </w:rPr>
              <w:t>When welding you must wear a full work outfit that is free of grease.  For “heavy” works, use gloves, leg protectors, a hard hat, apron and so on, made of appropriate materials – according to the circumstances.</w:t>
            </w:r>
          </w:p>
        </w:tc>
      </w:tr>
      <w:tr w:rsidR="00F51CBC" w:rsidRPr="00206AA0" w14:paraId="17045ACE" w14:textId="77777777" w:rsidTr="00F51CBC">
        <w:trPr>
          <w:cantSplit/>
        </w:trPr>
        <w:tc>
          <w:tcPr>
            <w:tcW w:w="1645" w:type="dxa"/>
          </w:tcPr>
          <w:p w14:paraId="7ECE64DC" w14:textId="77777777" w:rsidR="00F51CBC" w:rsidRPr="00206AA0" w:rsidRDefault="00F51CBC" w:rsidP="000755EA">
            <w:pPr>
              <w:pStyle w:val="ListParagraph"/>
              <w:spacing w:after="60" w:line="240" w:lineRule="auto"/>
              <w:ind w:left="0"/>
              <w:jc w:val="left"/>
            </w:pPr>
          </w:p>
        </w:tc>
        <w:tc>
          <w:tcPr>
            <w:tcW w:w="709" w:type="dxa"/>
          </w:tcPr>
          <w:p w14:paraId="4A47A782" w14:textId="620BEEA0"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39F2145F" w14:textId="2D8022AE" w:rsidR="00F51CBC" w:rsidRPr="00206AA0" w:rsidRDefault="00F51CBC" w:rsidP="00155F97">
            <w:pPr>
              <w:bidi w:val="0"/>
              <w:spacing w:after="120" w:line="276" w:lineRule="auto"/>
              <w:rPr>
                <w:rFonts w:ascii="Cambria" w:hAnsi="Cambria"/>
                <w:noProof w:val="0"/>
              </w:rPr>
            </w:pPr>
            <w:r w:rsidRPr="00206AA0">
              <w:rPr>
                <w:rFonts w:ascii="Cambria" w:hAnsi="Cambria"/>
                <w:noProof w:val="0"/>
              </w:rPr>
              <w:t>Cutting and welding of containers must be done only when the container’s contents is known and have been previously neutralized.  Before welding the container should be completely filled with water.</w:t>
            </w:r>
          </w:p>
        </w:tc>
      </w:tr>
      <w:tr w:rsidR="00F51CBC" w:rsidRPr="00206AA0" w14:paraId="4EEE5347" w14:textId="77777777" w:rsidTr="00F51CBC">
        <w:trPr>
          <w:cantSplit/>
        </w:trPr>
        <w:tc>
          <w:tcPr>
            <w:tcW w:w="1645" w:type="dxa"/>
          </w:tcPr>
          <w:p w14:paraId="5F65DE3F" w14:textId="77777777" w:rsidR="00F51CBC" w:rsidRPr="00206AA0" w:rsidRDefault="00F51CBC" w:rsidP="000755EA">
            <w:pPr>
              <w:pStyle w:val="ListParagraph"/>
              <w:spacing w:after="60" w:line="240" w:lineRule="auto"/>
              <w:ind w:left="0"/>
              <w:jc w:val="left"/>
            </w:pPr>
          </w:p>
        </w:tc>
        <w:tc>
          <w:tcPr>
            <w:tcW w:w="709" w:type="dxa"/>
          </w:tcPr>
          <w:p w14:paraId="4B0B4659" w14:textId="79AC3B24" w:rsidR="00F51CBC" w:rsidRPr="00206AA0" w:rsidRDefault="00F51CBC" w:rsidP="00F51CBC">
            <w:pPr>
              <w:pStyle w:val="ListParagraph"/>
              <w:numPr>
                <w:ilvl w:val="0"/>
                <w:numId w:val="3"/>
              </w:numPr>
              <w:tabs>
                <w:tab w:val="left" w:pos="198"/>
              </w:tabs>
              <w:spacing w:after="60" w:line="240" w:lineRule="auto"/>
              <w:ind w:hanging="720"/>
              <w:jc w:val="center"/>
            </w:pPr>
          </w:p>
        </w:tc>
        <w:tc>
          <w:tcPr>
            <w:tcW w:w="8136" w:type="dxa"/>
          </w:tcPr>
          <w:p w14:paraId="0A969C14" w14:textId="6D4FA4FA" w:rsidR="00F51CBC" w:rsidRPr="00206AA0" w:rsidRDefault="00F51CBC" w:rsidP="00155F97">
            <w:pPr>
              <w:bidi w:val="0"/>
              <w:spacing w:after="120" w:line="276" w:lineRule="auto"/>
              <w:rPr>
                <w:rFonts w:ascii="Cambria" w:hAnsi="Cambria"/>
                <w:noProof w:val="0"/>
              </w:rPr>
            </w:pPr>
            <w:r w:rsidRPr="00206AA0">
              <w:rPr>
                <w:rFonts w:ascii="Cambria" w:hAnsi="Cambria"/>
                <w:noProof w:val="0"/>
              </w:rPr>
              <w:t>When welding in “closed spaces,” an “observer” should be stationed who can identify risky situations and come to the welder’s assistance.  The space must be ventilated before welding and, if necessary, check the atmosphere in the space using an explosimeter.</w:t>
            </w:r>
          </w:p>
        </w:tc>
      </w:tr>
      <w:tr w:rsidR="00F51CBC" w:rsidRPr="00206AA0" w14:paraId="2E09C59D" w14:textId="77777777" w:rsidTr="00F51CBC">
        <w:trPr>
          <w:cantSplit/>
        </w:trPr>
        <w:tc>
          <w:tcPr>
            <w:tcW w:w="1645" w:type="dxa"/>
          </w:tcPr>
          <w:p w14:paraId="32BC378F" w14:textId="7F8EA59B" w:rsidR="00F51CBC" w:rsidRPr="00206AA0" w:rsidRDefault="00F51CBC" w:rsidP="006B2D28">
            <w:pPr>
              <w:pStyle w:val="ListParagraph"/>
              <w:spacing w:after="60" w:line="240" w:lineRule="auto"/>
              <w:ind w:left="0"/>
              <w:contextualSpacing w:val="0"/>
              <w:jc w:val="left"/>
            </w:pPr>
            <w:r w:rsidRPr="00206AA0">
              <w:t>Responsi</w:t>
            </w:r>
            <w:r w:rsidR="006B2D28" w:rsidRPr="00206AA0">
              <w:t xml:space="preserve">ble </w:t>
            </w:r>
            <w:r w:rsidRPr="00206AA0">
              <w:t xml:space="preserve">for </w:t>
            </w:r>
            <w:r w:rsidR="006B2D28" w:rsidRPr="00206AA0">
              <w:t>performance</w:t>
            </w:r>
          </w:p>
        </w:tc>
        <w:tc>
          <w:tcPr>
            <w:tcW w:w="709" w:type="dxa"/>
          </w:tcPr>
          <w:p w14:paraId="3728AABA" w14:textId="0B9A1FA2" w:rsidR="00F51CBC" w:rsidRPr="00206AA0" w:rsidRDefault="00F51CBC" w:rsidP="00F51CBC">
            <w:pPr>
              <w:pStyle w:val="ListParagraph"/>
              <w:numPr>
                <w:ilvl w:val="0"/>
                <w:numId w:val="3"/>
              </w:numPr>
              <w:tabs>
                <w:tab w:val="left" w:pos="198"/>
              </w:tabs>
              <w:spacing w:after="60" w:line="240" w:lineRule="auto"/>
              <w:ind w:hanging="720"/>
              <w:contextualSpacing w:val="0"/>
              <w:jc w:val="center"/>
            </w:pPr>
          </w:p>
        </w:tc>
        <w:tc>
          <w:tcPr>
            <w:tcW w:w="8136" w:type="dxa"/>
          </w:tcPr>
          <w:p w14:paraId="2E2A7651" w14:textId="4E5CB16E" w:rsidR="00F51CBC" w:rsidRPr="00206AA0" w:rsidRDefault="006B2D28" w:rsidP="00155F97">
            <w:pPr>
              <w:bidi w:val="0"/>
              <w:spacing w:after="120" w:line="276" w:lineRule="auto"/>
              <w:rPr>
                <w:rFonts w:ascii="Cambria" w:hAnsi="Cambria"/>
                <w:noProof w:val="0"/>
              </w:rPr>
            </w:pPr>
            <w:r w:rsidRPr="00206AA0">
              <w:rPr>
                <w:rFonts w:ascii="Cambria" w:hAnsi="Cambria"/>
                <w:noProof w:val="0"/>
              </w:rPr>
              <w:t>E</w:t>
            </w:r>
            <w:r w:rsidR="00F51CBC" w:rsidRPr="00206AA0">
              <w:rPr>
                <w:rFonts w:ascii="Cambria" w:hAnsi="Cambria"/>
                <w:noProof w:val="0"/>
              </w:rPr>
              <w:t>mployees engaged in autogenous cutting and welding, and those supervising these workers</w:t>
            </w:r>
            <w:r w:rsidRPr="00206AA0">
              <w:rPr>
                <w:rFonts w:ascii="Cambria" w:hAnsi="Cambria"/>
                <w:noProof w:val="0"/>
              </w:rPr>
              <w:t xml:space="preserve"> are respon</w:t>
            </w:r>
            <w:r w:rsidR="00155F97">
              <w:rPr>
                <w:rFonts w:ascii="Cambria" w:hAnsi="Cambria"/>
                <w:noProof w:val="0"/>
              </w:rPr>
              <w:t>sible for performance of these directives</w:t>
            </w:r>
            <w:r w:rsidR="00F51CBC" w:rsidRPr="00206AA0">
              <w:rPr>
                <w:rFonts w:ascii="Cambria" w:hAnsi="Cambria"/>
                <w:noProof w:val="0"/>
              </w:rPr>
              <w:t>.</w:t>
            </w:r>
          </w:p>
        </w:tc>
      </w:tr>
      <w:bookmarkEnd w:id="0"/>
    </w:tbl>
    <w:p w14:paraId="539CC326" w14:textId="35B1E8AB" w:rsidR="006378FB" w:rsidRPr="00206AA0" w:rsidRDefault="006378FB">
      <w:pPr>
        <w:bidi w:val="0"/>
        <w:rPr>
          <w:rFonts w:ascii="Cambria" w:hAnsi="Cambria"/>
          <w:noProof w:val="0"/>
        </w:rPr>
      </w:pPr>
    </w:p>
    <w:sectPr w:rsidR="006378FB" w:rsidRPr="00206AA0" w:rsidSect="00EE789E">
      <w:headerReference w:type="default" r:id="rId9"/>
      <w:endnotePr>
        <w:numFmt w:val="lowerLetter"/>
      </w:endnotePr>
      <w:pgSz w:w="11906" w:h="16838"/>
      <w:pgMar w:top="1418" w:right="141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D0BC" w14:textId="77777777" w:rsidR="00E344A9" w:rsidRDefault="00E344A9">
      <w:r>
        <w:separator/>
      </w:r>
    </w:p>
  </w:endnote>
  <w:endnote w:type="continuationSeparator" w:id="0">
    <w:p w14:paraId="104D5245" w14:textId="77777777" w:rsidR="00E344A9" w:rsidRDefault="00E3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E3DCD" w14:textId="77777777" w:rsidR="00E344A9" w:rsidRDefault="00E344A9">
      <w:r>
        <w:separator/>
      </w:r>
    </w:p>
  </w:footnote>
  <w:footnote w:type="continuationSeparator" w:id="0">
    <w:p w14:paraId="0391F5B8" w14:textId="77777777" w:rsidR="00E344A9" w:rsidRDefault="00E3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68EA" w14:textId="77777777" w:rsidR="00FC153F" w:rsidRPr="00485037" w:rsidRDefault="00FC153F" w:rsidP="00FC153F">
    <w:pPr>
      <w:pStyle w:val="Header"/>
      <w:bidi w:val="0"/>
      <w:jc w:val="center"/>
      <w:rPr>
        <w:rFonts w:ascii="Cambria" w:hAnsi="Cambria"/>
        <w:b/>
        <w:bCs/>
        <w:sz w:val="26"/>
        <w:szCs w:val="26"/>
      </w:rPr>
    </w:pPr>
    <w:r w:rsidRPr="00485037">
      <w:rPr>
        <w:rFonts w:ascii="Cambria" w:hAnsi="Cambria"/>
        <w:b/>
        <w:bCs/>
        <w:sz w:val="26"/>
        <w:szCs w:val="26"/>
      </w:rPr>
      <w:t>Tel Aviv University</w:t>
    </w:r>
  </w:p>
  <w:p w14:paraId="3E38CAC0" w14:textId="734BD05B" w:rsidR="00FC153F" w:rsidRPr="00485037" w:rsidRDefault="00FC153F" w:rsidP="00FC153F">
    <w:pPr>
      <w:pStyle w:val="Header"/>
      <w:bidi w:val="0"/>
      <w:jc w:val="center"/>
      <w:rPr>
        <w:rFonts w:ascii="Cambria" w:hAnsi="Cambria"/>
        <w:szCs w:val="24"/>
      </w:rPr>
    </w:pPr>
    <w:r w:rsidRPr="00485037">
      <w:rPr>
        <w:rFonts w:ascii="Cambria" w:hAnsi="Cambria"/>
        <w:szCs w:val="24"/>
      </w:rPr>
      <w:t>Safety Unit</w:t>
    </w:r>
  </w:p>
  <w:p w14:paraId="23C6F740" w14:textId="77777777" w:rsidR="00FC153F" w:rsidRPr="00485037" w:rsidRDefault="00FC153F" w:rsidP="00FC153F">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FC153F" w:rsidRPr="00485037" w14:paraId="5C7C89CC" w14:textId="77777777" w:rsidTr="00FC153F">
      <w:trPr>
        <w:jc w:val="center"/>
      </w:trPr>
      <w:tc>
        <w:tcPr>
          <w:tcW w:w="3046" w:type="dxa"/>
          <w:vAlign w:val="center"/>
        </w:tcPr>
        <w:p w14:paraId="23082160" w14:textId="77777777" w:rsidR="00FC153F" w:rsidRPr="00485037" w:rsidRDefault="00FC153F" w:rsidP="00FC153F">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09F53286" w14:textId="77777777" w:rsidR="00FC153F" w:rsidRPr="00485037" w:rsidRDefault="00FC153F" w:rsidP="00FC153F">
          <w:pPr>
            <w:pStyle w:val="Header"/>
            <w:bidi w:val="0"/>
            <w:rPr>
              <w:rFonts w:ascii="Cambria" w:hAnsi="Cambria"/>
              <w:b/>
              <w:bCs/>
            </w:rPr>
          </w:pPr>
        </w:p>
      </w:tc>
      <w:tc>
        <w:tcPr>
          <w:tcW w:w="1428" w:type="dxa"/>
        </w:tcPr>
        <w:p w14:paraId="1E9FFF92" w14:textId="77777777" w:rsidR="00FC153F" w:rsidRPr="00485037" w:rsidRDefault="00FC153F" w:rsidP="00FC153F">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155F97">
            <w:rPr>
              <w:rFonts w:ascii="Cambria" w:hAnsi="Cambria"/>
              <w:b/>
              <w:bCs/>
              <w:u w:val="single"/>
            </w:rPr>
            <w:t>1</w:t>
          </w:r>
          <w:r w:rsidRPr="00485037">
            <w:rPr>
              <w:rFonts w:ascii="Cambria" w:hAnsi="Cambria"/>
              <w:b/>
              <w:bCs/>
              <w:u w:val="single"/>
            </w:rPr>
            <w:fldChar w:fldCharType="end"/>
          </w:r>
        </w:p>
        <w:p w14:paraId="7B1C430D" w14:textId="77777777" w:rsidR="00FC153F" w:rsidRPr="00485037" w:rsidRDefault="00FC153F" w:rsidP="00FC153F">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155F97">
            <w:rPr>
              <w:rFonts w:ascii="Cambria" w:hAnsi="Cambria"/>
            </w:rPr>
            <w:t>2</w:t>
          </w:r>
          <w:r w:rsidRPr="00485037">
            <w:rPr>
              <w:rFonts w:ascii="Cambria" w:hAnsi="Cambria"/>
            </w:rPr>
            <w:fldChar w:fldCharType="end"/>
          </w:r>
        </w:p>
      </w:tc>
      <w:tc>
        <w:tcPr>
          <w:tcW w:w="1931" w:type="dxa"/>
        </w:tcPr>
        <w:p w14:paraId="064540B6"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Date published</w:t>
          </w:r>
        </w:p>
        <w:p w14:paraId="29D04AAE" w14:textId="5415216C" w:rsidR="00FC153F" w:rsidRPr="00485037" w:rsidRDefault="00FC153F" w:rsidP="00FC153F">
          <w:pPr>
            <w:pStyle w:val="Header"/>
            <w:bidi w:val="0"/>
            <w:jc w:val="center"/>
            <w:rPr>
              <w:rFonts w:ascii="Cambria" w:hAnsi="Cambria"/>
            </w:rPr>
          </w:pPr>
        </w:p>
      </w:tc>
      <w:tc>
        <w:tcPr>
          <w:tcW w:w="1762" w:type="dxa"/>
        </w:tcPr>
        <w:p w14:paraId="36CDB068"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Directive No.</w:t>
          </w:r>
        </w:p>
        <w:p w14:paraId="0BF54C4B" w14:textId="45F5F11E" w:rsidR="00FC153F" w:rsidRPr="00485037" w:rsidRDefault="00FC153F" w:rsidP="00FC153F">
          <w:pPr>
            <w:pStyle w:val="Header"/>
            <w:bidi w:val="0"/>
            <w:jc w:val="center"/>
            <w:rPr>
              <w:rFonts w:ascii="Cambria" w:hAnsi="Cambria"/>
            </w:rPr>
          </w:pPr>
          <w:r w:rsidRPr="00485037">
            <w:rPr>
              <w:rFonts w:ascii="Cambria" w:hAnsi="Cambria"/>
            </w:rPr>
            <w:t>07-3</w:t>
          </w:r>
          <w:r>
            <w:rPr>
              <w:rFonts w:ascii="Cambria" w:hAnsi="Cambria"/>
            </w:rPr>
            <w:t>1</w:t>
          </w:r>
          <w:r w:rsidR="006378FB">
            <w:rPr>
              <w:rFonts w:ascii="Cambria" w:hAnsi="Cambria"/>
            </w:rPr>
            <w:t>3</w:t>
          </w:r>
        </w:p>
      </w:tc>
    </w:tr>
    <w:tr w:rsidR="00FC153F" w:rsidRPr="00485037" w14:paraId="4C455AA8" w14:textId="77777777" w:rsidTr="00FC153F">
      <w:trPr>
        <w:jc w:val="center"/>
      </w:trPr>
      <w:tc>
        <w:tcPr>
          <w:tcW w:w="9070" w:type="dxa"/>
          <w:gridSpan w:val="5"/>
          <w:tcBorders>
            <w:top w:val="single" w:sz="4" w:space="0" w:color="auto"/>
            <w:bottom w:val="single" w:sz="4" w:space="0" w:color="auto"/>
          </w:tcBorders>
        </w:tcPr>
        <w:p w14:paraId="6DB17794" w14:textId="77777777" w:rsidR="00FC153F" w:rsidRPr="00485037" w:rsidRDefault="00FC153F" w:rsidP="00FC153F">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3C0231B7" w14:textId="77777777" w:rsidR="00FC153F" w:rsidRDefault="00FC153F" w:rsidP="00FC153F">
    <w:pPr>
      <w:pStyle w:val="Header"/>
      <w:bidi w:val="0"/>
      <w:rPr>
        <w:szCs w:val="24"/>
        <w:rtl/>
      </w:rPr>
    </w:pPr>
  </w:p>
  <w:p w14:paraId="47C823BA" w14:textId="77777777" w:rsidR="00FC153F" w:rsidRDefault="00FC153F" w:rsidP="00FC153F">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626CDF"/>
    <w:multiLevelType w:val="multilevel"/>
    <w:tmpl w:val="DB50188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9611468"/>
    <w:multiLevelType w:val="hybridMultilevel"/>
    <w:tmpl w:val="F7204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00"/>
    <w:rsid w:val="00037723"/>
    <w:rsid w:val="00057945"/>
    <w:rsid w:val="000755EA"/>
    <w:rsid w:val="000D70FD"/>
    <w:rsid w:val="00155F97"/>
    <w:rsid w:val="00206AA0"/>
    <w:rsid w:val="0023353D"/>
    <w:rsid w:val="00273701"/>
    <w:rsid w:val="002E4351"/>
    <w:rsid w:val="00333376"/>
    <w:rsid w:val="003D30AA"/>
    <w:rsid w:val="004A6F9D"/>
    <w:rsid w:val="004D5345"/>
    <w:rsid w:val="006378FB"/>
    <w:rsid w:val="00695FDE"/>
    <w:rsid w:val="006B2D28"/>
    <w:rsid w:val="007102E7"/>
    <w:rsid w:val="00930667"/>
    <w:rsid w:val="0093226E"/>
    <w:rsid w:val="009626A7"/>
    <w:rsid w:val="00AA398C"/>
    <w:rsid w:val="00AB4F64"/>
    <w:rsid w:val="00AB695B"/>
    <w:rsid w:val="00AC601F"/>
    <w:rsid w:val="00B923B7"/>
    <w:rsid w:val="00D56300"/>
    <w:rsid w:val="00DA1EE5"/>
    <w:rsid w:val="00E344A9"/>
    <w:rsid w:val="00E80DA0"/>
    <w:rsid w:val="00E87C08"/>
    <w:rsid w:val="00EC12FE"/>
    <w:rsid w:val="00EE789E"/>
    <w:rsid w:val="00F51CBC"/>
    <w:rsid w:val="00FC1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C9CB-9096-4570-9E27-25059B3E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79</TotalTime>
  <Pages>1</Pages>
  <Words>623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- 07-311</vt:lpstr>
      <vt:lpstr>הוראות בטיחות - 07-311</vt:lpstr>
    </vt:vector>
  </TitlesOfParts>
  <Company>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- 07-311</dc:title>
  <dc:subject/>
  <dc:creator>עופר לוגסי</dc:creator>
  <cp:keywords/>
  <dc:description/>
  <cp:lastModifiedBy>Michele Sagir</cp:lastModifiedBy>
  <cp:revision>11</cp:revision>
  <cp:lastPrinted>2000-08-14T10:02:00Z</cp:lastPrinted>
  <dcterms:created xsi:type="dcterms:W3CDTF">2020-11-16T13:32:00Z</dcterms:created>
  <dcterms:modified xsi:type="dcterms:W3CDTF">2020-12-13T12:58:00Z</dcterms:modified>
</cp:coreProperties>
</file>