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8"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559"/>
        <w:gridCol w:w="568"/>
        <w:gridCol w:w="7371"/>
      </w:tblGrid>
      <w:tr w:rsidR="00FC153F" w:rsidRPr="00A83C9C" w14:paraId="14B4FF53" w14:textId="77777777" w:rsidTr="00606B41">
        <w:tc>
          <w:tcPr>
            <w:tcW w:w="2127" w:type="dxa"/>
            <w:gridSpan w:val="2"/>
          </w:tcPr>
          <w:p w14:paraId="2FE38540" w14:textId="4D5129C8" w:rsidR="00FC153F" w:rsidRPr="00A83C9C" w:rsidRDefault="00FC153F" w:rsidP="00606B41">
            <w:pPr>
              <w:pStyle w:val="ListParagraph"/>
              <w:spacing w:after="60" w:line="240" w:lineRule="auto"/>
              <w:ind w:left="0"/>
              <w:contextualSpacing w:val="0"/>
              <w:jc w:val="left"/>
            </w:pPr>
            <w:r w:rsidRPr="00A83C9C">
              <w:t>Name of A</w:t>
            </w:r>
            <w:r w:rsidR="00606B41" w:rsidRPr="00A83C9C">
              <w:t>ppendix</w:t>
            </w:r>
            <w:r w:rsidRPr="00A83C9C">
              <w:t>:</w:t>
            </w:r>
          </w:p>
        </w:tc>
        <w:tc>
          <w:tcPr>
            <w:tcW w:w="7371" w:type="dxa"/>
          </w:tcPr>
          <w:p w14:paraId="467BC157" w14:textId="676DE564" w:rsidR="00FC153F" w:rsidRPr="00A83C9C" w:rsidRDefault="003D30AA" w:rsidP="00606B41">
            <w:pPr>
              <w:bidi w:val="0"/>
              <w:spacing w:after="120"/>
              <w:rPr>
                <w:rFonts w:ascii="Cambria" w:hAnsi="Cambria"/>
                <w:b/>
                <w:bCs/>
                <w:noProof w:val="0"/>
                <w:u w:val="single"/>
              </w:rPr>
            </w:pPr>
            <w:r w:rsidRPr="00A83C9C">
              <w:rPr>
                <w:rFonts w:ascii="Cambria" w:hAnsi="Cambria"/>
                <w:b/>
                <w:bCs/>
                <w:noProof w:val="0"/>
                <w:u w:val="single"/>
              </w:rPr>
              <w:t xml:space="preserve">Rescuing </w:t>
            </w:r>
            <w:r w:rsidR="00606B41" w:rsidRPr="00A83C9C">
              <w:rPr>
                <w:rFonts w:ascii="Cambria" w:hAnsi="Cambria"/>
                <w:b/>
                <w:bCs/>
                <w:noProof w:val="0"/>
                <w:u w:val="single"/>
              </w:rPr>
              <w:t>a person</w:t>
            </w:r>
            <w:r w:rsidRPr="00A83C9C">
              <w:rPr>
                <w:rFonts w:ascii="Cambria" w:hAnsi="Cambria"/>
                <w:b/>
                <w:bCs/>
                <w:noProof w:val="0"/>
                <w:u w:val="single"/>
              </w:rPr>
              <w:t xml:space="preserve"> trapped in an elevator</w:t>
            </w:r>
          </w:p>
        </w:tc>
      </w:tr>
      <w:tr w:rsidR="00606B41" w:rsidRPr="00A83C9C" w14:paraId="2A8C9AF0" w14:textId="77777777" w:rsidTr="00606B41">
        <w:tc>
          <w:tcPr>
            <w:tcW w:w="1559" w:type="dxa"/>
          </w:tcPr>
          <w:p w14:paraId="22BC09C6" w14:textId="77777777" w:rsidR="00606B41" w:rsidRPr="00A83C9C" w:rsidRDefault="00606B41" w:rsidP="0008139B">
            <w:pPr>
              <w:pStyle w:val="ListParagraph"/>
              <w:ind w:left="0"/>
              <w:contextualSpacing w:val="0"/>
              <w:jc w:val="left"/>
            </w:pPr>
            <w:r w:rsidRPr="00A83C9C">
              <w:t xml:space="preserve">General </w:t>
            </w:r>
          </w:p>
          <w:p w14:paraId="7E1DBF1E" w14:textId="7CDE0890" w:rsidR="00606B41" w:rsidRPr="00A83C9C" w:rsidRDefault="00606B41" w:rsidP="0008139B">
            <w:pPr>
              <w:pStyle w:val="ListParagraph"/>
              <w:ind w:left="0"/>
              <w:contextualSpacing w:val="0"/>
              <w:jc w:val="left"/>
            </w:pPr>
          </w:p>
        </w:tc>
        <w:tc>
          <w:tcPr>
            <w:tcW w:w="568" w:type="dxa"/>
          </w:tcPr>
          <w:p w14:paraId="7EB3C906" w14:textId="71B46657" w:rsidR="00606B41" w:rsidRPr="00A83C9C" w:rsidRDefault="00606B41" w:rsidP="0008139B">
            <w:pPr>
              <w:pStyle w:val="ListParagraph"/>
              <w:ind w:left="0"/>
              <w:contextualSpacing w:val="0"/>
              <w:jc w:val="left"/>
            </w:pPr>
            <w:r w:rsidRPr="00A83C9C">
              <w:t>1.</w:t>
            </w:r>
          </w:p>
        </w:tc>
        <w:tc>
          <w:tcPr>
            <w:tcW w:w="7371" w:type="dxa"/>
          </w:tcPr>
          <w:p w14:paraId="5233DC05" w14:textId="39C9EF60" w:rsidR="00606B41" w:rsidRPr="00A83C9C" w:rsidRDefault="00606B41" w:rsidP="0008139B">
            <w:pPr>
              <w:bidi w:val="0"/>
              <w:spacing w:after="120" w:line="276" w:lineRule="auto"/>
              <w:rPr>
                <w:rFonts w:ascii="Cambria" w:hAnsi="Cambria"/>
                <w:noProof w:val="0"/>
              </w:rPr>
            </w:pPr>
            <w:r w:rsidRPr="00A83C9C">
              <w:rPr>
                <w:rFonts w:ascii="Cambria" w:hAnsi="Cambria"/>
                <w:noProof w:val="0"/>
              </w:rPr>
              <w:t>A university employee who hears the elevator emergency alarm ringing or calls for help from the elevator, must go immediately toward the elevator shaft and, if possible, identify the location of the elevator and notify those trapped inside that someone is aware of their situation and that rescue efforts are underway.  The person should remind them that (for safety’s sake) they must not smoke in the elevator and they should not “play” with the elevator mechanism.  The person who found the people stuck in the elevator should return to them every few minutes to encourage them until professional help appears on the scene.</w:t>
            </w:r>
          </w:p>
        </w:tc>
      </w:tr>
      <w:tr w:rsidR="00606B41" w:rsidRPr="00A83C9C" w14:paraId="48553889" w14:textId="77777777" w:rsidTr="00606B41">
        <w:tc>
          <w:tcPr>
            <w:tcW w:w="1559" w:type="dxa"/>
          </w:tcPr>
          <w:p w14:paraId="48C2B94D" w14:textId="2A7E4D5B" w:rsidR="00606B41" w:rsidRPr="00A83C9C" w:rsidRDefault="00606B41" w:rsidP="0008139B">
            <w:pPr>
              <w:pStyle w:val="ListParagraph"/>
              <w:ind w:left="0"/>
              <w:contextualSpacing w:val="0"/>
              <w:jc w:val="left"/>
            </w:pPr>
            <w:r w:rsidRPr="00A83C9C">
              <w:t xml:space="preserve">Safety </w:t>
            </w:r>
            <w:r w:rsidR="0008139B">
              <w:t>directives</w:t>
            </w:r>
          </w:p>
        </w:tc>
        <w:tc>
          <w:tcPr>
            <w:tcW w:w="568" w:type="dxa"/>
          </w:tcPr>
          <w:p w14:paraId="6F20AAF9" w14:textId="64A4F543" w:rsidR="00606B41" w:rsidRPr="00A83C9C" w:rsidRDefault="00A83C9C" w:rsidP="0008139B">
            <w:pPr>
              <w:pStyle w:val="ListParagraph"/>
              <w:ind w:left="0"/>
              <w:contextualSpacing w:val="0"/>
              <w:jc w:val="left"/>
            </w:pPr>
            <w:r w:rsidRPr="00A83C9C">
              <w:t>2.</w:t>
            </w:r>
          </w:p>
        </w:tc>
        <w:tc>
          <w:tcPr>
            <w:tcW w:w="7371" w:type="dxa"/>
          </w:tcPr>
          <w:p w14:paraId="6EEAFF68" w14:textId="3EB9B7D2" w:rsidR="00606B41" w:rsidRPr="00A83C9C" w:rsidRDefault="00606B41" w:rsidP="0008139B">
            <w:pPr>
              <w:bidi w:val="0"/>
              <w:spacing w:after="120" w:line="276" w:lineRule="auto"/>
              <w:rPr>
                <w:rFonts w:ascii="Cambria" w:hAnsi="Cambria"/>
                <w:noProof w:val="0"/>
              </w:rPr>
            </w:pPr>
            <w:r w:rsidRPr="00A83C9C">
              <w:rPr>
                <w:rFonts w:ascii="Cambria" w:hAnsi="Cambria"/>
                <w:noProof w:val="0"/>
              </w:rPr>
              <w:t xml:space="preserve">As soon as the first one to arrive gives </w:t>
            </w:r>
            <w:r w:rsidR="00A83C9C" w:rsidRPr="00A83C9C">
              <w:rPr>
                <w:rFonts w:ascii="Cambria" w:hAnsi="Cambria"/>
                <w:noProof w:val="0"/>
              </w:rPr>
              <w:t xml:space="preserve">the people trapped </w:t>
            </w:r>
            <w:r w:rsidRPr="00A83C9C">
              <w:rPr>
                <w:rFonts w:ascii="Cambria" w:hAnsi="Cambria"/>
                <w:noProof w:val="0"/>
              </w:rPr>
              <w:t xml:space="preserve">in the elevator a “calming message” as aforesaid, he should try to call for professional help from the Systems Unit using the in-house phone, or if there is none, then directly.  After regular work hours of the Housekeeping Administration, the person who found the people should call the Security Unit for assistance.  The Unit will call for professional help according to the (updated) instructions in its possession. </w:t>
            </w:r>
          </w:p>
        </w:tc>
      </w:tr>
      <w:tr w:rsidR="00606B41" w:rsidRPr="00A83C9C" w14:paraId="16F5082F" w14:textId="77777777" w:rsidTr="00606B41">
        <w:tc>
          <w:tcPr>
            <w:tcW w:w="1559" w:type="dxa"/>
          </w:tcPr>
          <w:p w14:paraId="305FA016" w14:textId="77777777" w:rsidR="00606B41" w:rsidRPr="00A83C9C" w:rsidRDefault="00606B41" w:rsidP="0008139B">
            <w:pPr>
              <w:pStyle w:val="ListParagraph"/>
              <w:ind w:left="0"/>
              <w:contextualSpacing w:val="0"/>
              <w:jc w:val="left"/>
            </w:pPr>
          </w:p>
        </w:tc>
        <w:tc>
          <w:tcPr>
            <w:tcW w:w="568" w:type="dxa"/>
          </w:tcPr>
          <w:p w14:paraId="46FF1665" w14:textId="2056D1F1" w:rsidR="00606B41" w:rsidRPr="00A83C9C" w:rsidRDefault="00A83C9C" w:rsidP="0008139B">
            <w:pPr>
              <w:pStyle w:val="ListParagraph"/>
              <w:ind w:left="0"/>
              <w:contextualSpacing w:val="0"/>
              <w:jc w:val="left"/>
            </w:pPr>
            <w:r w:rsidRPr="00A83C9C">
              <w:t>3.</w:t>
            </w:r>
          </w:p>
        </w:tc>
        <w:tc>
          <w:tcPr>
            <w:tcW w:w="7371" w:type="dxa"/>
          </w:tcPr>
          <w:p w14:paraId="430AF8BB" w14:textId="277B7CFC" w:rsidR="00606B41" w:rsidRPr="00A83C9C" w:rsidRDefault="00606B41" w:rsidP="0008139B">
            <w:pPr>
              <w:bidi w:val="0"/>
              <w:spacing w:after="120" w:line="276" w:lineRule="auto"/>
              <w:rPr>
                <w:rFonts w:ascii="Cambria" w:hAnsi="Cambria"/>
                <w:noProof w:val="0"/>
              </w:rPr>
            </w:pPr>
            <w:r w:rsidRPr="00A83C9C">
              <w:rPr>
                <w:rFonts w:ascii="Cambria" w:hAnsi="Cambria"/>
                <w:noProof w:val="0"/>
              </w:rPr>
              <w:t>In the event of a</w:t>
            </w:r>
            <w:r w:rsidR="00A83C9C" w:rsidRPr="00A83C9C">
              <w:rPr>
                <w:rFonts w:ascii="Cambria" w:hAnsi="Cambria"/>
                <w:noProof w:val="0"/>
              </w:rPr>
              <w:t xml:space="preserve"> power outage </w:t>
            </w:r>
            <w:r w:rsidRPr="00A83C9C">
              <w:rPr>
                <w:rFonts w:ascii="Cambria" w:hAnsi="Cambria"/>
                <w:noProof w:val="0"/>
              </w:rPr>
              <w:t xml:space="preserve">in a building, the building custodian should </w:t>
            </w:r>
            <w:r w:rsidR="00A83C9C" w:rsidRPr="00A83C9C">
              <w:rPr>
                <w:rFonts w:ascii="Cambria" w:hAnsi="Cambria"/>
                <w:noProof w:val="0"/>
              </w:rPr>
              <w:t xml:space="preserve">act </w:t>
            </w:r>
            <w:r w:rsidRPr="00A83C9C">
              <w:rPr>
                <w:rFonts w:ascii="Cambria" w:hAnsi="Cambria"/>
                <w:noProof w:val="0"/>
              </w:rPr>
              <w:t xml:space="preserve">as if there are people </w:t>
            </w:r>
            <w:r w:rsidR="00A83C9C" w:rsidRPr="00A83C9C">
              <w:rPr>
                <w:rFonts w:ascii="Cambria" w:hAnsi="Cambria"/>
                <w:noProof w:val="0"/>
              </w:rPr>
              <w:t xml:space="preserve">trapped </w:t>
            </w:r>
            <w:r w:rsidRPr="00A83C9C">
              <w:rPr>
                <w:rFonts w:ascii="Cambria" w:hAnsi="Cambria"/>
                <w:noProof w:val="0"/>
              </w:rPr>
              <w:t>in the elevator of the building for which he is responsible, until it is proven following the most stringent inspection that all of the elevators are, in fact, empty.</w:t>
            </w:r>
          </w:p>
        </w:tc>
      </w:tr>
      <w:tr w:rsidR="00606B41" w:rsidRPr="00A83C9C" w14:paraId="142DB465" w14:textId="77777777" w:rsidTr="00606B41">
        <w:tc>
          <w:tcPr>
            <w:tcW w:w="1559" w:type="dxa"/>
          </w:tcPr>
          <w:p w14:paraId="695F6FED" w14:textId="77777777" w:rsidR="00606B41" w:rsidRPr="00A83C9C" w:rsidRDefault="00606B41" w:rsidP="0008139B">
            <w:pPr>
              <w:pStyle w:val="ListParagraph"/>
              <w:ind w:left="0"/>
              <w:contextualSpacing w:val="0"/>
              <w:jc w:val="left"/>
            </w:pPr>
          </w:p>
        </w:tc>
        <w:tc>
          <w:tcPr>
            <w:tcW w:w="568" w:type="dxa"/>
          </w:tcPr>
          <w:p w14:paraId="5D4D8EBE" w14:textId="3FFA4C1F" w:rsidR="00606B41" w:rsidRPr="00A83C9C" w:rsidRDefault="00A83C9C" w:rsidP="0008139B">
            <w:pPr>
              <w:pStyle w:val="ListParagraph"/>
              <w:ind w:left="0"/>
              <w:contextualSpacing w:val="0"/>
              <w:jc w:val="left"/>
            </w:pPr>
            <w:r w:rsidRPr="00A83C9C">
              <w:t>4.</w:t>
            </w:r>
          </w:p>
        </w:tc>
        <w:tc>
          <w:tcPr>
            <w:tcW w:w="7371" w:type="dxa"/>
          </w:tcPr>
          <w:p w14:paraId="0369FD79" w14:textId="43D25E37" w:rsidR="00606B41" w:rsidRPr="00A83C9C" w:rsidRDefault="00606B41" w:rsidP="0008139B">
            <w:pPr>
              <w:bidi w:val="0"/>
              <w:spacing w:after="120" w:line="276" w:lineRule="auto"/>
              <w:rPr>
                <w:rFonts w:ascii="Cambria" w:hAnsi="Cambria"/>
                <w:noProof w:val="0"/>
              </w:rPr>
            </w:pPr>
            <w:r w:rsidRPr="00A83C9C">
              <w:rPr>
                <w:rFonts w:ascii="Cambria" w:hAnsi="Cambria"/>
                <w:noProof w:val="0"/>
              </w:rPr>
              <w:t>In any case, any rescue from an elevator must be conducted according to the following order of actions, preferably performed by at least two people, with one of them being skilled and experienced.</w:t>
            </w:r>
          </w:p>
        </w:tc>
      </w:tr>
      <w:tr w:rsidR="00606B41" w:rsidRPr="00A83C9C" w14:paraId="3E99B349" w14:textId="77777777" w:rsidTr="00606B41">
        <w:tc>
          <w:tcPr>
            <w:tcW w:w="1559" w:type="dxa"/>
          </w:tcPr>
          <w:p w14:paraId="0745897E" w14:textId="77777777" w:rsidR="00606B41" w:rsidRPr="00A83C9C" w:rsidRDefault="00606B41" w:rsidP="0008139B">
            <w:pPr>
              <w:pStyle w:val="ListParagraph"/>
              <w:ind w:left="0"/>
              <w:contextualSpacing w:val="0"/>
              <w:jc w:val="left"/>
            </w:pPr>
          </w:p>
        </w:tc>
        <w:tc>
          <w:tcPr>
            <w:tcW w:w="568" w:type="dxa"/>
          </w:tcPr>
          <w:p w14:paraId="634FEBE2" w14:textId="5A90FCF8" w:rsidR="00606B41" w:rsidRPr="00A83C9C" w:rsidRDefault="00606B41" w:rsidP="0008139B">
            <w:pPr>
              <w:pStyle w:val="ListParagraph"/>
              <w:ind w:left="0"/>
              <w:contextualSpacing w:val="0"/>
              <w:jc w:val="left"/>
            </w:pPr>
          </w:p>
        </w:tc>
        <w:tc>
          <w:tcPr>
            <w:tcW w:w="7371" w:type="dxa"/>
          </w:tcPr>
          <w:p w14:paraId="176FFC06" w14:textId="40CB1E6E" w:rsidR="00606B41" w:rsidRPr="00A83C9C" w:rsidRDefault="00606B41" w:rsidP="0008139B">
            <w:pPr>
              <w:pStyle w:val="ListParagraph"/>
              <w:numPr>
                <w:ilvl w:val="1"/>
                <w:numId w:val="2"/>
              </w:numPr>
              <w:ind w:left="482" w:hanging="426"/>
              <w:contextualSpacing w:val="0"/>
            </w:pPr>
            <w:r w:rsidRPr="00A83C9C">
              <w:t>Enter the elevator machine room and immediately disconnect the main power to the elevator.</w:t>
            </w:r>
          </w:p>
          <w:p w14:paraId="2C46D8FD" w14:textId="07203B61" w:rsidR="00606B41" w:rsidRPr="00A83C9C" w:rsidRDefault="00606B41" w:rsidP="0008139B">
            <w:pPr>
              <w:pStyle w:val="ListParagraph"/>
              <w:numPr>
                <w:ilvl w:val="1"/>
                <w:numId w:val="2"/>
              </w:numPr>
              <w:ind w:left="482" w:hanging="426"/>
              <w:contextualSpacing w:val="0"/>
            </w:pPr>
            <w:r w:rsidRPr="00A83C9C">
              <w:t>Hold on to the elevator flywheel and release the elevator brake using the special “release handle” that should be kept in the elevator machine room.</w:t>
            </w:r>
          </w:p>
          <w:p w14:paraId="14E9F798" w14:textId="77777777" w:rsidR="00606B41" w:rsidRPr="00A83C9C" w:rsidRDefault="00606B41" w:rsidP="0008139B">
            <w:pPr>
              <w:pStyle w:val="ListParagraph"/>
              <w:numPr>
                <w:ilvl w:val="1"/>
                <w:numId w:val="2"/>
              </w:numPr>
              <w:ind w:left="482" w:hanging="426"/>
              <w:contextualSpacing w:val="0"/>
            </w:pPr>
            <w:r w:rsidRPr="00A83C9C">
              <w:t>Turn the flywheel until the elevator reaches (going up or going down) the closest floor – while emphasizing that it is forbidden to leave the elevator yet.</w:t>
            </w:r>
          </w:p>
          <w:p w14:paraId="0C193883" w14:textId="351F19B4" w:rsidR="00606B41" w:rsidRPr="00A83C9C" w:rsidRDefault="00606B41" w:rsidP="0008139B">
            <w:pPr>
              <w:pStyle w:val="ListParagraph"/>
              <w:numPr>
                <w:ilvl w:val="1"/>
                <w:numId w:val="2"/>
              </w:numPr>
              <w:ind w:left="482" w:hanging="426"/>
              <w:contextualSpacing w:val="0"/>
            </w:pPr>
            <w:r w:rsidRPr="00A83C9C">
              <w:lastRenderedPageBreak/>
              <w:t>Re-engage the elevator brake by removing the “release handle” and giving permission to leave the elevator.</w:t>
            </w:r>
          </w:p>
        </w:tc>
      </w:tr>
      <w:tr w:rsidR="00606B41" w:rsidRPr="00A83C9C" w14:paraId="5AF6746F" w14:textId="77777777" w:rsidTr="00606B41">
        <w:tc>
          <w:tcPr>
            <w:tcW w:w="1559" w:type="dxa"/>
          </w:tcPr>
          <w:p w14:paraId="178EC10E" w14:textId="77777777" w:rsidR="00606B41" w:rsidRPr="00A83C9C" w:rsidRDefault="00606B41" w:rsidP="0008139B">
            <w:pPr>
              <w:pStyle w:val="ListParagraph"/>
              <w:ind w:left="0"/>
              <w:contextualSpacing w:val="0"/>
              <w:jc w:val="left"/>
            </w:pPr>
          </w:p>
        </w:tc>
        <w:tc>
          <w:tcPr>
            <w:tcW w:w="568" w:type="dxa"/>
          </w:tcPr>
          <w:p w14:paraId="7EC9C6EA" w14:textId="514A950E" w:rsidR="00606B41" w:rsidRPr="00A83C9C" w:rsidRDefault="00A83C9C" w:rsidP="0008139B">
            <w:pPr>
              <w:pStyle w:val="ListParagraph"/>
              <w:ind w:left="0"/>
              <w:contextualSpacing w:val="0"/>
              <w:jc w:val="left"/>
            </w:pPr>
            <w:r w:rsidRPr="00A83C9C">
              <w:t>5.</w:t>
            </w:r>
          </w:p>
        </w:tc>
        <w:tc>
          <w:tcPr>
            <w:tcW w:w="7371" w:type="dxa"/>
          </w:tcPr>
          <w:p w14:paraId="1DE0FA7E" w14:textId="43E2DDB2" w:rsidR="00606B41" w:rsidRPr="00A83C9C" w:rsidRDefault="00606B41" w:rsidP="0008139B">
            <w:pPr>
              <w:bidi w:val="0"/>
              <w:spacing w:after="120" w:line="276" w:lineRule="auto"/>
              <w:rPr>
                <w:rFonts w:ascii="Cambria" w:hAnsi="Cambria"/>
                <w:noProof w:val="0"/>
              </w:rPr>
            </w:pPr>
            <w:r w:rsidRPr="00A83C9C">
              <w:rPr>
                <w:rFonts w:ascii="Cambria" w:hAnsi="Cambria"/>
                <w:noProof w:val="0"/>
              </w:rPr>
              <w:t>Only a certified electrician may restore power to the elevator.</w:t>
            </w:r>
          </w:p>
        </w:tc>
      </w:tr>
      <w:tr w:rsidR="00606B41" w:rsidRPr="00A83C9C" w14:paraId="0616004E" w14:textId="77777777" w:rsidTr="00606B41">
        <w:tc>
          <w:tcPr>
            <w:tcW w:w="1559" w:type="dxa"/>
          </w:tcPr>
          <w:p w14:paraId="71ACEA7A" w14:textId="514D53EC" w:rsidR="00606B41" w:rsidRPr="00A83C9C" w:rsidRDefault="00606B41" w:rsidP="0008139B">
            <w:pPr>
              <w:pStyle w:val="ListParagraph"/>
              <w:ind w:left="0"/>
              <w:contextualSpacing w:val="0"/>
              <w:jc w:val="left"/>
            </w:pPr>
            <w:r w:rsidRPr="00A83C9C">
              <w:t>Responsib</w:t>
            </w:r>
            <w:r w:rsidR="00A83C9C" w:rsidRPr="00A83C9C">
              <w:t>le</w:t>
            </w:r>
            <w:r w:rsidRPr="00A83C9C">
              <w:t xml:space="preserve"> for </w:t>
            </w:r>
            <w:r w:rsidR="00A83C9C" w:rsidRPr="00A83C9C">
              <w:t>performance</w:t>
            </w:r>
          </w:p>
        </w:tc>
        <w:tc>
          <w:tcPr>
            <w:tcW w:w="568" w:type="dxa"/>
          </w:tcPr>
          <w:p w14:paraId="183791DE" w14:textId="35451952" w:rsidR="00606B41" w:rsidRPr="00A83C9C" w:rsidRDefault="00A83C9C" w:rsidP="0008139B">
            <w:pPr>
              <w:pStyle w:val="ListParagraph"/>
              <w:ind w:left="0"/>
              <w:contextualSpacing w:val="0"/>
              <w:jc w:val="left"/>
            </w:pPr>
            <w:r w:rsidRPr="00A83C9C">
              <w:t>6.</w:t>
            </w:r>
          </w:p>
        </w:tc>
        <w:tc>
          <w:tcPr>
            <w:tcW w:w="7371" w:type="dxa"/>
          </w:tcPr>
          <w:p w14:paraId="26E3A3F7" w14:textId="7DBB9C7E" w:rsidR="00606B41" w:rsidRPr="00A83C9C" w:rsidRDefault="00A83C9C" w:rsidP="0008139B">
            <w:pPr>
              <w:bidi w:val="0"/>
              <w:spacing w:after="120" w:line="276" w:lineRule="auto"/>
              <w:rPr>
                <w:rFonts w:ascii="Cambria" w:hAnsi="Cambria"/>
                <w:noProof w:val="0"/>
              </w:rPr>
            </w:pPr>
            <w:r w:rsidRPr="00A83C9C">
              <w:rPr>
                <w:rFonts w:ascii="Cambria" w:hAnsi="Cambria"/>
                <w:noProof w:val="0"/>
              </w:rPr>
              <w:t xml:space="preserve">The building/block manager is responsible </w:t>
            </w:r>
            <w:r w:rsidR="00606B41" w:rsidRPr="00A83C9C">
              <w:rPr>
                <w:rFonts w:ascii="Cambria" w:hAnsi="Cambria"/>
                <w:noProof w:val="0"/>
              </w:rPr>
              <w:t>for supervising performance of th</w:t>
            </w:r>
            <w:r w:rsidRPr="00A83C9C">
              <w:rPr>
                <w:rFonts w:ascii="Cambria" w:hAnsi="Cambria"/>
                <w:noProof w:val="0"/>
              </w:rPr>
              <w:t>ese</w:t>
            </w:r>
            <w:r w:rsidR="00606B41" w:rsidRPr="00A83C9C">
              <w:rPr>
                <w:rFonts w:ascii="Cambria" w:hAnsi="Cambria"/>
                <w:noProof w:val="0"/>
              </w:rPr>
              <w:t xml:space="preserve"> </w:t>
            </w:r>
            <w:r w:rsidR="0008139B">
              <w:rPr>
                <w:rFonts w:ascii="Cambria" w:hAnsi="Cambria"/>
                <w:noProof w:val="0"/>
              </w:rPr>
              <w:t>directives</w:t>
            </w:r>
            <w:bookmarkStart w:id="0" w:name="_GoBack"/>
            <w:bookmarkEnd w:id="0"/>
            <w:r w:rsidR="00606B41" w:rsidRPr="00A83C9C">
              <w:rPr>
                <w:rFonts w:ascii="Cambria" w:hAnsi="Cambria"/>
                <w:noProof w:val="0"/>
              </w:rPr>
              <w:t>.</w:t>
            </w:r>
          </w:p>
        </w:tc>
      </w:tr>
    </w:tbl>
    <w:p w14:paraId="537B3462" w14:textId="77777777" w:rsidR="00FC153F" w:rsidRPr="00A83C9C" w:rsidRDefault="00FC153F" w:rsidP="0008139B">
      <w:pPr>
        <w:bidi w:val="0"/>
        <w:spacing w:after="120" w:line="276" w:lineRule="auto"/>
        <w:rPr>
          <w:rFonts w:ascii="Cambria" w:hAnsi="Cambria"/>
          <w:noProof w:val="0"/>
          <w:rtl/>
        </w:rPr>
      </w:pPr>
    </w:p>
    <w:sectPr w:rsidR="00FC153F" w:rsidRPr="00A83C9C" w:rsidSect="00EE789E">
      <w:headerReference w:type="default" r:id="rId9"/>
      <w:endnotePr>
        <w:numFmt w:val="lowerLetter"/>
      </w:endnotePr>
      <w:pgSz w:w="11906" w:h="16838"/>
      <w:pgMar w:top="1418" w:right="1418" w:bottom="1418" w:left="1418" w:header="720" w:footer="720" w:gutter="0"/>
      <w:cols w:space="720"/>
      <w:bidi/>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E3B41" w14:textId="77777777" w:rsidR="00B73696" w:rsidRDefault="00B73696">
      <w:r>
        <w:separator/>
      </w:r>
    </w:p>
  </w:endnote>
  <w:endnote w:type="continuationSeparator" w:id="0">
    <w:p w14:paraId="461A1D6A" w14:textId="77777777" w:rsidR="00B73696" w:rsidRDefault="00B73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82068" w14:textId="77777777" w:rsidR="00B73696" w:rsidRDefault="00B73696">
      <w:r>
        <w:separator/>
      </w:r>
    </w:p>
  </w:footnote>
  <w:footnote w:type="continuationSeparator" w:id="0">
    <w:p w14:paraId="439E4823" w14:textId="77777777" w:rsidR="00B73696" w:rsidRDefault="00B736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F68EA" w14:textId="77777777" w:rsidR="00FC153F" w:rsidRPr="00485037" w:rsidRDefault="00FC153F" w:rsidP="00FC153F">
    <w:pPr>
      <w:pStyle w:val="Header"/>
      <w:bidi w:val="0"/>
      <w:jc w:val="center"/>
      <w:rPr>
        <w:rFonts w:ascii="Cambria" w:hAnsi="Cambria"/>
        <w:b/>
        <w:bCs/>
        <w:sz w:val="26"/>
        <w:szCs w:val="26"/>
      </w:rPr>
    </w:pPr>
    <w:r w:rsidRPr="00485037">
      <w:rPr>
        <w:rFonts w:ascii="Cambria" w:hAnsi="Cambria"/>
        <w:b/>
        <w:bCs/>
        <w:sz w:val="26"/>
        <w:szCs w:val="26"/>
      </w:rPr>
      <w:t>Tel Aviv University</w:t>
    </w:r>
  </w:p>
  <w:p w14:paraId="3E38CAC0" w14:textId="1360BB3C" w:rsidR="00FC153F" w:rsidRPr="00485037" w:rsidRDefault="00FC153F" w:rsidP="00FC153F">
    <w:pPr>
      <w:pStyle w:val="Header"/>
      <w:bidi w:val="0"/>
      <w:jc w:val="center"/>
      <w:rPr>
        <w:rFonts w:ascii="Cambria" w:hAnsi="Cambria"/>
        <w:szCs w:val="24"/>
      </w:rPr>
    </w:pPr>
    <w:r w:rsidRPr="00485037">
      <w:rPr>
        <w:rFonts w:ascii="Cambria" w:hAnsi="Cambria"/>
        <w:szCs w:val="24"/>
      </w:rPr>
      <w:t>Safety Unit</w:t>
    </w:r>
  </w:p>
  <w:p w14:paraId="23C6F740" w14:textId="77777777" w:rsidR="00FC153F" w:rsidRPr="00485037" w:rsidRDefault="00FC153F" w:rsidP="00FC153F">
    <w:pPr>
      <w:pStyle w:val="Header"/>
      <w:bidi w:val="0"/>
      <w:rPr>
        <w:rFonts w:ascii="Cambria" w:hAnsi="Cambria"/>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6"/>
      <w:gridCol w:w="903"/>
      <w:gridCol w:w="1428"/>
      <w:gridCol w:w="1931"/>
      <w:gridCol w:w="1762"/>
    </w:tblGrid>
    <w:tr w:rsidR="00FC153F" w:rsidRPr="00485037" w14:paraId="5C7C89CC" w14:textId="77777777" w:rsidTr="00FC153F">
      <w:trPr>
        <w:jc w:val="center"/>
      </w:trPr>
      <w:tc>
        <w:tcPr>
          <w:tcW w:w="3046" w:type="dxa"/>
          <w:vAlign w:val="center"/>
        </w:tcPr>
        <w:p w14:paraId="23082160" w14:textId="77777777" w:rsidR="00FC153F" w:rsidRPr="00485037" w:rsidRDefault="00FC153F" w:rsidP="00FC153F">
          <w:pPr>
            <w:pStyle w:val="Header"/>
            <w:bidi w:val="0"/>
            <w:rPr>
              <w:rFonts w:ascii="Cambria" w:hAnsi="Cambria"/>
              <w:b/>
              <w:bCs/>
              <w:sz w:val="28"/>
              <w:szCs w:val="28"/>
              <w:u w:val="single"/>
            </w:rPr>
          </w:pPr>
          <w:r w:rsidRPr="00485037">
            <w:rPr>
              <w:rFonts w:ascii="Cambria" w:hAnsi="Cambria"/>
              <w:b/>
              <w:bCs/>
              <w:sz w:val="28"/>
              <w:szCs w:val="28"/>
              <w:u w:val="single"/>
            </w:rPr>
            <w:t>Safety Directives</w:t>
          </w:r>
        </w:p>
      </w:tc>
      <w:tc>
        <w:tcPr>
          <w:tcW w:w="903" w:type="dxa"/>
        </w:tcPr>
        <w:p w14:paraId="09F53286" w14:textId="77777777" w:rsidR="00FC153F" w:rsidRPr="00485037" w:rsidRDefault="00FC153F" w:rsidP="00FC153F">
          <w:pPr>
            <w:pStyle w:val="Header"/>
            <w:bidi w:val="0"/>
            <w:rPr>
              <w:rFonts w:ascii="Cambria" w:hAnsi="Cambria"/>
              <w:b/>
              <w:bCs/>
            </w:rPr>
          </w:pPr>
        </w:p>
      </w:tc>
      <w:tc>
        <w:tcPr>
          <w:tcW w:w="1428" w:type="dxa"/>
        </w:tcPr>
        <w:p w14:paraId="1E9FFF92" w14:textId="77777777" w:rsidR="00FC153F" w:rsidRPr="00485037" w:rsidRDefault="00FC153F" w:rsidP="00FC153F">
          <w:pPr>
            <w:pStyle w:val="Header"/>
            <w:bidi w:val="0"/>
            <w:jc w:val="center"/>
            <w:rPr>
              <w:rFonts w:ascii="Cambria" w:hAnsi="Cambria"/>
              <w:b/>
              <w:bCs/>
              <w:u w:val="single"/>
            </w:rPr>
          </w:pPr>
          <w:r w:rsidRPr="00485037">
            <w:rPr>
              <w:rFonts w:ascii="Cambria" w:hAnsi="Cambria"/>
              <w:b/>
              <w:bCs/>
              <w:u w:val="single"/>
            </w:rPr>
            <w:t xml:space="preserve">Page No. </w:t>
          </w:r>
          <w:r w:rsidRPr="00485037">
            <w:rPr>
              <w:rFonts w:ascii="Cambria" w:hAnsi="Cambria"/>
              <w:b/>
              <w:bCs/>
              <w:u w:val="single"/>
            </w:rPr>
            <w:fldChar w:fldCharType="begin"/>
          </w:r>
          <w:r w:rsidRPr="00485037">
            <w:rPr>
              <w:rFonts w:ascii="Cambria" w:hAnsi="Cambria"/>
              <w:b/>
              <w:bCs/>
              <w:u w:val="single"/>
            </w:rPr>
            <w:instrText xml:space="preserve"> PAGE   \* MERGEFORMAT </w:instrText>
          </w:r>
          <w:r w:rsidRPr="00485037">
            <w:rPr>
              <w:rFonts w:ascii="Cambria" w:hAnsi="Cambria"/>
              <w:b/>
              <w:bCs/>
              <w:u w:val="single"/>
            </w:rPr>
            <w:fldChar w:fldCharType="separate"/>
          </w:r>
          <w:r w:rsidR="0008139B">
            <w:rPr>
              <w:rFonts w:ascii="Cambria" w:hAnsi="Cambria"/>
              <w:b/>
              <w:bCs/>
              <w:u w:val="single"/>
            </w:rPr>
            <w:t>2</w:t>
          </w:r>
          <w:r w:rsidRPr="00485037">
            <w:rPr>
              <w:rFonts w:ascii="Cambria" w:hAnsi="Cambria"/>
              <w:b/>
              <w:bCs/>
              <w:u w:val="single"/>
            </w:rPr>
            <w:fldChar w:fldCharType="end"/>
          </w:r>
        </w:p>
        <w:p w14:paraId="7B1C430D" w14:textId="77777777" w:rsidR="00FC153F" w:rsidRPr="00485037" w:rsidRDefault="00FC153F" w:rsidP="00FC153F">
          <w:pPr>
            <w:pStyle w:val="Header"/>
            <w:bidi w:val="0"/>
            <w:jc w:val="center"/>
            <w:rPr>
              <w:rFonts w:ascii="Cambria" w:hAnsi="Cambria"/>
            </w:rPr>
          </w:pPr>
          <w:r w:rsidRPr="00485037">
            <w:rPr>
              <w:rFonts w:ascii="Cambria" w:hAnsi="Cambria"/>
            </w:rPr>
            <w:t xml:space="preserve">Of </w:t>
          </w:r>
          <w:r w:rsidRPr="00485037">
            <w:rPr>
              <w:rFonts w:ascii="Cambria" w:hAnsi="Cambria"/>
            </w:rPr>
            <w:fldChar w:fldCharType="begin"/>
          </w:r>
          <w:r w:rsidRPr="00485037">
            <w:rPr>
              <w:rFonts w:ascii="Cambria" w:hAnsi="Cambria"/>
            </w:rPr>
            <w:instrText xml:space="preserve"> NUMPAGES   \* MERGEFORMAT </w:instrText>
          </w:r>
          <w:r w:rsidRPr="00485037">
            <w:rPr>
              <w:rFonts w:ascii="Cambria" w:hAnsi="Cambria"/>
            </w:rPr>
            <w:fldChar w:fldCharType="separate"/>
          </w:r>
          <w:r w:rsidR="0008139B">
            <w:rPr>
              <w:rFonts w:ascii="Cambria" w:hAnsi="Cambria"/>
            </w:rPr>
            <w:t>2</w:t>
          </w:r>
          <w:r w:rsidRPr="00485037">
            <w:rPr>
              <w:rFonts w:ascii="Cambria" w:hAnsi="Cambria"/>
            </w:rPr>
            <w:fldChar w:fldCharType="end"/>
          </w:r>
        </w:p>
      </w:tc>
      <w:tc>
        <w:tcPr>
          <w:tcW w:w="1931" w:type="dxa"/>
        </w:tcPr>
        <w:p w14:paraId="064540B6" w14:textId="77777777" w:rsidR="00FC153F" w:rsidRPr="00485037" w:rsidRDefault="00FC153F" w:rsidP="00FC153F">
          <w:pPr>
            <w:pStyle w:val="Header"/>
            <w:bidi w:val="0"/>
            <w:jc w:val="center"/>
            <w:rPr>
              <w:rFonts w:ascii="Cambria" w:hAnsi="Cambria"/>
              <w:b/>
              <w:bCs/>
            </w:rPr>
          </w:pPr>
          <w:r w:rsidRPr="00485037">
            <w:rPr>
              <w:rFonts w:ascii="Cambria" w:hAnsi="Cambria"/>
              <w:b/>
              <w:bCs/>
              <w:u w:val="single"/>
            </w:rPr>
            <w:t>Date published</w:t>
          </w:r>
        </w:p>
        <w:p w14:paraId="29D04AAE" w14:textId="5415216C" w:rsidR="00FC153F" w:rsidRPr="00485037" w:rsidRDefault="00FC153F" w:rsidP="00FC153F">
          <w:pPr>
            <w:pStyle w:val="Header"/>
            <w:bidi w:val="0"/>
            <w:jc w:val="center"/>
            <w:rPr>
              <w:rFonts w:ascii="Cambria" w:hAnsi="Cambria"/>
            </w:rPr>
          </w:pPr>
        </w:p>
      </w:tc>
      <w:tc>
        <w:tcPr>
          <w:tcW w:w="1762" w:type="dxa"/>
        </w:tcPr>
        <w:p w14:paraId="36CDB068" w14:textId="77777777" w:rsidR="00FC153F" w:rsidRPr="00485037" w:rsidRDefault="00FC153F" w:rsidP="00FC153F">
          <w:pPr>
            <w:pStyle w:val="Header"/>
            <w:bidi w:val="0"/>
            <w:jc w:val="center"/>
            <w:rPr>
              <w:rFonts w:ascii="Cambria" w:hAnsi="Cambria"/>
              <w:b/>
              <w:bCs/>
            </w:rPr>
          </w:pPr>
          <w:r w:rsidRPr="00485037">
            <w:rPr>
              <w:rFonts w:ascii="Cambria" w:hAnsi="Cambria"/>
              <w:b/>
              <w:bCs/>
              <w:u w:val="single"/>
            </w:rPr>
            <w:t>Directive No.</w:t>
          </w:r>
        </w:p>
        <w:p w14:paraId="0BF54C4B" w14:textId="45D1763A" w:rsidR="00FC153F" w:rsidRPr="00485037" w:rsidRDefault="00FC153F" w:rsidP="00FC153F">
          <w:pPr>
            <w:pStyle w:val="Header"/>
            <w:bidi w:val="0"/>
            <w:jc w:val="center"/>
            <w:rPr>
              <w:rFonts w:ascii="Cambria" w:hAnsi="Cambria"/>
            </w:rPr>
          </w:pPr>
          <w:r w:rsidRPr="00485037">
            <w:rPr>
              <w:rFonts w:ascii="Cambria" w:hAnsi="Cambria"/>
            </w:rPr>
            <w:t>07-3</w:t>
          </w:r>
          <w:r>
            <w:rPr>
              <w:rFonts w:ascii="Cambria" w:hAnsi="Cambria"/>
            </w:rPr>
            <w:t>1</w:t>
          </w:r>
          <w:r w:rsidR="007102E7">
            <w:rPr>
              <w:rFonts w:ascii="Cambria" w:hAnsi="Cambria"/>
            </w:rPr>
            <w:t>2</w:t>
          </w:r>
        </w:p>
      </w:tc>
    </w:tr>
    <w:tr w:rsidR="00FC153F" w:rsidRPr="00485037" w14:paraId="4C455AA8" w14:textId="77777777" w:rsidTr="00FC153F">
      <w:trPr>
        <w:jc w:val="center"/>
      </w:trPr>
      <w:tc>
        <w:tcPr>
          <w:tcW w:w="9070" w:type="dxa"/>
          <w:gridSpan w:val="5"/>
          <w:tcBorders>
            <w:top w:val="single" w:sz="4" w:space="0" w:color="auto"/>
            <w:bottom w:val="single" w:sz="4" w:space="0" w:color="auto"/>
          </w:tcBorders>
        </w:tcPr>
        <w:p w14:paraId="6DB17794" w14:textId="77777777" w:rsidR="00FC153F" w:rsidRPr="00485037" w:rsidRDefault="00FC153F" w:rsidP="00FC153F">
          <w:pPr>
            <w:pStyle w:val="Header"/>
            <w:tabs>
              <w:tab w:val="right" w:pos="6117"/>
            </w:tabs>
            <w:bidi w:val="0"/>
            <w:spacing w:before="120" w:after="120"/>
            <w:rPr>
              <w:rFonts w:ascii="Cambria" w:hAnsi="Cambria"/>
              <w:u w:val="single"/>
            </w:rPr>
          </w:pPr>
          <w:r w:rsidRPr="00485037">
            <w:rPr>
              <w:rFonts w:ascii="Cambria" w:hAnsi="Cambria"/>
              <w:b/>
              <w:bCs/>
            </w:rPr>
            <w:t>Name of Directive:</w:t>
          </w:r>
          <w:r w:rsidRPr="00485037">
            <w:rPr>
              <w:rFonts w:ascii="Cambria" w:hAnsi="Cambria"/>
              <w:b/>
              <w:bCs/>
            </w:rPr>
            <w:tab/>
          </w:r>
          <w:r w:rsidRPr="00485037">
            <w:rPr>
              <w:rFonts w:ascii="Cambria" w:hAnsi="Cambria"/>
              <w:b/>
              <w:bCs/>
            </w:rPr>
            <w:tab/>
          </w:r>
          <w:r w:rsidRPr="00485037">
            <w:rPr>
              <w:rFonts w:ascii="Cambria" w:hAnsi="Cambria"/>
              <w:b/>
              <w:bCs/>
              <w:sz w:val="26"/>
              <w:szCs w:val="26"/>
            </w:rPr>
            <w:t>University Safety</w:t>
          </w:r>
        </w:p>
      </w:tc>
    </w:tr>
  </w:tbl>
  <w:p w14:paraId="3C0231B7" w14:textId="77777777" w:rsidR="00FC153F" w:rsidRDefault="00FC153F" w:rsidP="00FC153F">
    <w:pPr>
      <w:pStyle w:val="Header"/>
      <w:bidi w:val="0"/>
      <w:rPr>
        <w:szCs w:val="24"/>
        <w:rtl/>
      </w:rPr>
    </w:pPr>
  </w:p>
  <w:p w14:paraId="47C823BA" w14:textId="77777777" w:rsidR="00FC153F" w:rsidRDefault="00FC153F" w:rsidP="00FC153F">
    <w:pPr>
      <w:pStyle w:val="Header"/>
      <w:bidi w:val="0"/>
      <w:rPr>
        <w:szCs w:val="24"/>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B0A1C"/>
    <w:multiLevelType w:val="multilevel"/>
    <w:tmpl w:val="0409001F"/>
    <w:lvl w:ilvl="0">
      <w:start w:val="1"/>
      <w:numFmt w:val="decimal"/>
      <w:lvlText w:val="%1."/>
      <w:lvlJc w:val="left"/>
      <w:pPr>
        <w:ind w:left="417" w:hanging="360"/>
      </w:pPr>
    </w:lvl>
    <w:lvl w:ilvl="1">
      <w:start w:val="1"/>
      <w:numFmt w:val="decimal"/>
      <w:lvlText w:val="%1.%2."/>
      <w:lvlJc w:val="left"/>
      <w:pPr>
        <w:ind w:left="849" w:hanging="432"/>
      </w:pPr>
    </w:lvl>
    <w:lvl w:ilvl="2">
      <w:start w:val="1"/>
      <w:numFmt w:val="decimal"/>
      <w:lvlText w:val="%1.%2.%3."/>
      <w:lvlJc w:val="left"/>
      <w:pPr>
        <w:ind w:left="1281" w:hanging="504"/>
      </w:p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1">
    <w:nsid w:val="1D626CDF"/>
    <w:multiLevelType w:val="multilevel"/>
    <w:tmpl w:val="DB501886"/>
    <w:lvl w:ilvl="0">
      <w:start w:val="1"/>
      <w:numFmt w:val="decimal"/>
      <w:lvlText w:val="%1."/>
      <w:lvlJc w:val="left"/>
      <w:pPr>
        <w:ind w:left="360" w:hanging="360"/>
      </w:pPr>
    </w:lvl>
    <w:lvl w:ilvl="1">
      <w:start w:val="1"/>
      <w:numFmt w:val="upp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gutterAtTop/>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lowerLette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00"/>
    <w:rsid w:val="00037723"/>
    <w:rsid w:val="00057945"/>
    <w:rsid w:val="0008139B"/>
    <w:rsid w:val="000D70FD"/>
    <w:rsid w:val="003D30AA"/>
    <w:rsid w:val="004A6F9D"/>
    <w:rsid w:val="00606B41"/>
    <w:rsid w:val="00695FDE"/>
    <w:rsid w:val="007102E7"/>
    <w:rsid w:val="009626A7"/>
    <w:rsid w:val="00A83C9C"/>
    <w:rsid w:val="00AA398C"/>
    <w:rsid w:val="00AC601F"/>
    <w:rsid w:val="00B73696"/>
    <w:rsid w:val="00BB550F"/>
    <w:rsid w:val="00D56300"/>
    <w:rsid w:val="00DA1EE5"/>
    <w:rsid w:val="00E80DA0"/>
    <w:rsid w:val="00EC12FE"/>
    <w:rsid w:val="00EE789E"/>
    <w:rsid w:val="00FC15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46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FC153F"/>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FC153F"/>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C153F"/>
    <w:rPr>
      <w:rFonts w:cs="David"/>
      <w:noProof/>
      <w:sz w:val="24"/>
      <w:szCs w:val="22"/>
      <w:lang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rPr>
      <w:rFonts w:cs="David"/>
      <w:noProof/>
      <w:sz w:val="24"/>
      <w:szCs w:val="24"/>
      <w:lang w:eastAsia="he-IL"/>
    </w:rPr>
  </w:style>
  <w:style w:type="paragraph" w:styleId="Heading5">
    <w:name w:val="heading 5"/>
    <w:basedOn w:val="Normal"/>
    <w:next w:val="Normal"/>
    <w:qFormat/>
    <w:pPr>
      <w:keepNext/>
      <w:spacing w:line="360" w:lineRule="auto"/>
      <w:jc w:val="center"/>
      <w:outlineLvl w:val="4"/>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Cs w:val="22"/>
    </w:rPr>
  </w:style>
  <w:style w:type="paragraph" w:styleId="Footer">
    <w:name w:val="footer"/>
    <w:basedOn w:val="Normal"/>
    <w:semiHidden/>
    <w:pPr>
      <w:tabs>
        <w:tab w:val="center" w:pos="4153"/>
        <w:tab w:val="right" w:pos="8306"/>
      </w:tabs>
    </w:pPr>
    <w:rPr>
      <w:szCs w:val="22"/>
    </w:rPr>
  </w:style>
  <w:style w:type="character" w:styleId="PageNumber">
    <w:name w:val="page number"/>
    <w:basedOn w:val="DefaultParagraphFont"/>
    <w:semiHidden/>
  </w:style>
  <w:style w:type="paragraph" w:styleId="ListParagraph">
    <w:name w:val="List Paragraph"/>
    <w:basedOn w:val="Normal"/>
    <w:uiPriority w:val="34"/>
    <w:qFormat/>
    <w:rsid w:val="00FC153F"/>
    <w:pPr>
      <w:bidi w:val="0"/>
      <w:spacing w:after="120" w:line="276" w:lineRule="auto"/>
      <w:ind w:left="720"/>
      <w:contextualSpacing/>
      <w:jc w:val="both"/>
    </w:pPr>
    <w:rPr>
      <w:rFonts w:ascii="Cambria" w:hAnsi="Cambria" w:cs="Arial"/>
      <w:noProof w:val="0"/>
      <w:lang w:eastAsia="en-US"/>
    </w:rPr>
  </w:style>
  <w:style w:type="table" w:styleId="TableGrid">
    <w:name w:val="Table Grid"/>
    <w:basedOn w:val="TableNormal"/>
    <w:uiPriority w:val="39"/>
    <w:rsid w:val="00FC153F"/>
    <w:rPr>
      <w:rFonts w:asci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FC153F"/>
    <w:rPr>
      <w:rFonts w:cs="David"/>
      <w:noProof/>
      <w:sz w:val="24"/>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65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X:\DATA\O-LIGHT\MINHALA\Template\Safe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F830-814F-4127-B799-9DB4B9862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Safety</Template>
  <TotalTime>90</TotalTime>
  <Pages>2</Pages>
  <Words>356</Words>
  <Characters>2030</Characters>
  <Application>Microsoft Office Word</Application>
  <DocSecurity>0</DocSecurity>
  <Lines>16</Lines>
  <Paragraphs>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הוראות בטיחות - 07-311</vt:lpstr>
      <vt:lpstr>הוראות בטיחות - 07-311</vt:lpstr>
    </vt:vector>
  </TitlesOfParts>
  <Company>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הוראות בטיחות - 07-311</dc:title>
  <dc:subject/>
  <dc:creator>עופר לוגסי</dc:creator>
  <cp:keywords/>
  <dc:description/>
  <cp:lastModifiedBy>Michele Sagir</cp:lastModifiedBy>
  <cp:revision>6</cp:revision>
  <cp:lastPrinted>2000-08-14T10:02:00Z</cp:lastPrinted>
  <dcterms:created xsi:type="dcterms:W3CDTF">2020-11-16T13:01:00Z</dcterms:created>
  <dcterms:modified xsi:type="dcterms:W3CDTF">2020-12-13T12:57:00Z</dcterms:modified>
</cp:coreProperties>
</file>