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411"/>
        <w:gridCol w:w="7512"/>
      </w:tblGrid>
      <w:tr w:rsidR="00C96B5A" w:rsidRPr="0049141B" w14:paraId="359483D9" w14:textId="77777777" w:rsidTr="00E12205">
        <w:tc>
          <w:tcPr>
            <w:tcW w:w="2411" w:type="dxa"/>
          </w:tcPr>
          <w:p w14:paraId="7309F9AD" w14:textId="3C62FDC5" w:rsidR="00E22DB2" w:rsidRPr="0049141B" w:rsidRDefault="00BB2034" w:rsidP="00BB2034">
            <w:pPr>
              <w:pStyle w:val="ListParagraph"/>
              <w:spacing w:after="60" w:line="240" w:lineRule="auto"/>
              <w:ind w:left="0"/>
              <w:contextualSpacing w:val="0"/>
              <w:jc w:val="left"/>
            </w:pPr>
            <w:r w:rsidRPr="0049141B">
              <w:t>Name of Appendix</w:t>
            </w:r>
            <w:r w:rsidR="00C96B5A" w:rsidRPr="0049141B">
              <w:t>:</w:t>
            </w:r>
          </w:p>
        </w:tc>
        <w:tc>
          <w:tcPr>
            <w:tcW w:w="7512" w:type="dxa"/>
          </w:tcPr>
          <w:p w14:paraId="60BC5EFA" w14:textId="7CD78B4C" w:rsidR="00E22DB2" w:rsidRPr="0049141B" w:rsidRDefault="00C96B5A" w:rsidP="000E3C08">
            <w:pPr>
              <w:bidi w:val="0"/>
              <w:spacing w:after="60"/>
              <w:rPr>
                <w:rFonts w:ascii="Cambria" w:hAnsi="Cambria"/>
                <w:b/>
                <w:bCs/>
                <w:noProof w:val="0"/>
                <w:u w:val="single"/>
              </w:rPr>
            </w:pPr>
            <w:r w:rsidRPr="0049141B">
              <w:rPr>
                <w:rFonts w:ascii="Cambria" w:hAnsi="Cambria"/>
                <w:b/>
                <w:bCs/>
                <w:noProof w:val="0"/>
                <w:u w:val="single"/>
              </w:rPr>
              <w:t>Removing chemical waste from laboratories</w:t>
            </w:r>
          </w:p>
        </w:tc>
      </w:tr>
      <w:tr w:rsidR="00C96B5A" w:rsidRPr="0049141B" w14:paraId="5C89B896" w14:textId="77777777" w:rsidTr="00E12205">
        <w:tc>
          <w:tcPr>
            <w:tcW w:w="2411" w:type="dxa"/>
          </w:tcPr>
          <w:p w14:paraId="1D92EC4F" w14:textId="15F9AE82" w:rsidR="00E22DB2" w:rsidRPr="0049141B" w:rsidRDefault="00BB2034" w:rsidP="000E3C08">
            <w:pPr>
              <w:pStyle w:val="ListParagraph"/>
              <w:spacing w:after="60" w:line="240" w:lineRule="auto"/>
              <w:ind w:left="0"/>
              <w:contextualSpacing w:val="0"/>
              <w:jc w:val="left"/>
            </w:pPr>
            <w:r w:rsidRPr="0049141B">
              <w:t>Goal</w:t>
            </w:r>
          </w:p>
        </w:tc>
        <w:tc>
          <w:tcPr>
            <w:tcW w:w="7512" w:type="dxa"/>
          </w:tcPr>
          <w:p w14:paraId="28804953" w14:textId="58959D4A" w:rsidR="00E22DB2" w:rsidRPr="0049141B" w:rsidRDefault="000E3C08" w:rsidP="00E12205">
            <w:pPr>
              <w:pStyle w:val="ListParagraph"/>
              <w:numPr>
                <w:ilvl w:val="0"/>
                <w:numId w:val="2"/>
              </w:numPr>
              <w:spacing w:after="60" w:line="240" w:lineRule="auto"/>
              <w:ind w:left="454" w:hanging="454"/>
              <w:contextualSpacing w:val="0"/>
            </w:pPr>
            <w:r w:rsidRPr="0049141B">
              <w:t>The purpose of this directive is to provide instructions for removing chemical waste from the laboratories using an external company.</w:t>
            </w:r>
          </w:p>
        </w:tc>
      </w:tr>
      <w:tr w:rsidR="00C96B5A" w:rsidRPr="0049141B" w14:paraId="77CD09EE" w14:textId="77777777" w:rsidTr="00E12205">
        <w:tc>
          <w:tcPr>
            <w:tcW w:w="2411" w:type="dxa"/>
          </w:tcPr>
          <w:p w14:paraId="2A7B3E9E" w14:textId="295A6AAE" w:rsidR="00E22DB2" w:rsidRPr="0049141B" w:rsidRDefault="00C96B5A" w:rsidP="000E3C08">
            <w:pPr>
              <w:pStyle w:val="ListParagraph"/>
              <w:spacing w:after="60" w:line="240" w:lineRule="auto"/>
              <w:ind w:left="0"/>
              <w:contextualSpacing w:val="0"/>
              <w:jc w:val="left"/>
            </w:pPr>
            <w:r w:rsidRPr="0049141B">
              <w:t>Introduction and background to separating types of chemical waste</w:t>
            </w:r>
          </w:p>
        </w:tc>
        <w:tc>
          <w:tcPr>
            <w:tcW w:w="7512" w:type="dxa"/>
          </w:tcPr>
          <w:p w14:paraId="7776DC0E" w14:textId="77777777" w:rsidR="00E22DB2" w:rsidRPr="0049141B" w:rsidRDefault="000E3C08" w:rsidP="00E12205">
            <w:pPr>
              <w:pStyle w:val="ListParagraph"/>
              <w:numPr>
                <w:ilvl w:val="0"/>
                <w:numId w:val="2"/>
              </w:numPr>
              <w:spacing w:after="20" w:line="240" w:lineRule="auto"/>
              <w:ind w:left="454" w:hanging="454"/>
              <w:contextualSpacing w:val="0"/>
            </w:pPr>
            <w:r w:rsidRPr="0049141B">
              <w:t>It is customary to refer to 9 primary risk groups. This directive refers to 7 main groups of materials, as follows:</w:t>
            </w:r>
          </w:p>
          <w:p w14:paraId="0F3D0595" w14:textId="6AC1C091" w:rsidR="000E3C08" w:rsidRPr="0049141B" w:rsidRDefault="00E12205" w:rsidP="007D6951">
            <w:pPr>
              <w:bidi w:val="0"/>
              <w:spacing w:after="20"/>
              <w:ind w:left="454" w:hanging="454"/>
              <w:rPr>
                <w:rFonts w:ascii="Cambria" w:hAnsi="Cambria"/>
                <w:noProof w:val="0"/>
              </w:rPr>
            </w:pPr>
            <w:r w:rsidRPr="0049141B">
              <w:rPr>
                <w:rFonts w:ascii="Cambria" w:hAnsi="Cambria"/>
                <w:noProof w:val="0"/>
              </w:rPr>
              <w:tab/>
            </w:r>
            <w:r w:rsidR="000E3C08" w:rsidRPr="0049141B">
              <w:rPr>
                <w:rFonts w:ascii="Cambria" w:hAnsi="Cambria"/>
                <w:noProof w:val="0"/>
              </w:rPr>
              <w:t>(The numbers at th</w:t>
            </w:r>
            <w:r w:rsidR="00C2309E" w:rsidRPr="0049141B">
              <w:rPr>
                <w:rFonts w:ascii="Cambria" w:hAnsi="Cambria"/>
                <w:noProof w:val="0"/>
              </w:rPr>
              <w:t>e</w:t>
            </w:r>
            <w:r w:rsidR="000E3C08" w:rsidRPr="0049141B">
              <w:rPr>
                <w:rFonts w:ascii="Cambria" w:hAnsi="Cambria"/>
                <w:noProof w:val="0"/>
              </w:rPr>
              <w:t xml:space="preserve"> beginning of each line refer to the </w:t>
            </w:r>
            <w:r w:rsidR="00C2309E" w:rsidRPr="0049141B">
              <w:rPr>
                <w:rFonts w:ascii="Cambria" w:hAnsi="Cambria"/>
                <w:noProof w:val="0"/>
              </w:rPr>
              <w:t xml:space="preserve">classes of </w:t>
            </w:r>
            <w:r w:rsidR="007D6951" w:rsidRPr="0049141B">
              <w:rPr>
                <w:rFonts w:ascii="Cambria" w:hAnsi="Cambria"/>
                <w:noProof w:val="0"/>
              </w:rPr>
              <w:t>groups</w:t>
            </w:r>
            <w:r w:rsidR="000E3C08" w:rsidRPr="0049141B">
              <w:rPr>
                <w:rFonts w:ascii="Cambria" w:hAnsi="Cambria"/>
                <w:noProof w:val="0"/>
              </w:rPr>
              <w:t xml:space="preserve"> as defin</w:t>
            </w:r>
            <w:r w:rsidR="00C2309E" w:rsidRPr="0049141B">
              <w:rPr>
                <w:rFonts w:ascii="Cambria" w:hAnsi="Cambria"/>
                <w:noProof w:val="0"/>
              </w:rPr>
              <w:t>e</w:t>
            </w:r>
            <w:r w:rsidR="000E3C08" w:rsidRPr="0049141B">
              <w:rPr>
                <w:rFonts w:ascii="Cambria" w:hAnsi="Cambria"/>
                <w:noProof w:val="0"/>
              </w:rPr>
              <w:t>d by the UN:)</w:t>
            </w:r>
          </w:p>
          <w:p w14:paraId="0018AA04" w14:textId="77777777" w:rsidR="000E3C08" w:rsidRPr="0049141B" w:rsidRDefault="000E3C08" w:rsidP="00E12205">
            <w:pPr>
              <w:tabs>
                <w:tab w:val="left" w:pos="942"/>
              </w:tabs>
              <w:bidi w:val="0"/>
              <w:spacing w:after="20"/>
              <w:ind w:left="1021" w:hanging="567"/>
              <w:rPr>
                <w:rFonts w:ascii="Cambria" w:hAnsi="Cambria"/>
                <w:noProof w:val="0"/>
              </w:rPr>
            </w:pPr>
            <w:r w:rsidRPr="0049141B">
              <w:rPr>
                <w:rFonts w:ascii="Cambria" w:hAnsi="Cambria"/>
                <w:noProof w:val="0"/>
              </w:rPr>
              <w:t>(2)</w:t>
            </w:r>
            <w:r w:rsidRPr="0049141B">
              <w:rPr>
                <w:rFonts w:ascii="Cambria" w:hAnsi="Cambria"/>
                <w:noProof w:val="0"/>
              </w:rPr>
              <w:tab/>
              <w:t>Gases</w:t>
            </w:r>
          </w:p>
          <w:p w14:paraId="58CB6B90" w14:textId="77777777" w:rsidR="000E3C08" w:rsidRPr="0049141B" w:rsidRDefault="000E3C08" w:rsidP="00E12205">
            <w:pPr>
              <w:tabs>
                <w:tab w:val="left" w:pos="942"/>
              </w:tabs>
              <w:bidi w:val="0"/>
              <w:spacing w:after="20"/>
              <w:ind w:left="1021" w:hanging="567"/>
              <w:rPr>
                <w:rFonts w:ascii="Cambria" w:hAnsi="Cambria"/>
                <w:noProof w:val="0"/>
              </w:rPr>
            </w:pPr>
            <w:r w:rsidRPr="0049141B">
              <w:rPr>
                <w:rFonts w:ascii="Cambria" w:hAnsi="Cambria"/>
                <w:noProof w:val="0"/>
              </w:rPr>
              <w:t>(3)</w:t>
            </w:r>
            <w:r w:rsidRPr="0049141B">
              <w:rPr>
                <w:rFonts w:ascii="Cambria" w:hAnsi="Cambria"/>
                <w:noProof w:val="0"/>
              </w:rPr>
              <w:tab/>
              <w:t>Flammable liquids</w:t>
            </w:r>
          </w:p>
          <w:p w14:paraId="7D39FA54" w14:textId="77777777" w:rsidR="000E3C08" w:rsidRPr="0049141B" w:rsidRDefault="000E3C08" w:rsidP="00E12205">
            <w:pPr>
              <w:tabs>
                <w:tab w:val="left" w:pos="942"/>
              </w:tabs>
              <w:bidi w:val="0"/>
              <w:spacing w:after="20"/>
              <w:ind w:left="1021" w:hanging="567"/>
              <w:rPr>
                <w:rFonts w:ascii="Cambria" w:hAnsi="Cambria"/>
                <w:noProof w:val="0"/>
              </w:rPr>
            </w:pPr>
            <w:r w:rsidRPr="0049141B">
              <w:rPr>
                <w:rFonts w:ascii="Cambria" w:hAnsi="Cambria"/>
                <w:noProof w:val="0"/>
              </w:rPr>
              <w:t>(4)</w:t>
            </w:r>
            <w:r w:rsidRPr="0049141B">
              <w:rPr>
                <w:rFonts w:ascii="Cambria" w:hAnsi="Cambria"/>
                <w:noProof w:val="0"/>
              </w:rPr>
              <w:tab/>
              <w:t>Flammable solids</w:t>
            </w:r>
          </w:p>
          <w:p w14:paraId="15E4C76C" w14:textId="0F000BDB" w:rsidR="000E3C08" w:rsidRPr="0049141B" w:rsidRDefault="000E3C08" w:rsidP="00E12205">
            <w:pPr>
              <w:tabs>
                <w:tab w:val="left" w:pos="942"/>
              </w:tabs>
              <w:bidi w:val="0"/>
              <w:spacing w:after="20"/>
              <w:ind w:left="1021" w:hanging="567"/>
              <w:rPr>
                <w:rFonts w:ascii="Cambria" w:hAnsi="Cambria"/>
                <w:noProof w:val="0"/>
              </w:rPr>
            </w:pPr>
            <w:r w:rsidRPr="0049141B">
              <w:rPr>
                <w:rFonts w:ascii="Cambria" w:hAnsi="Cambria"/>
                <w:noProof w:val="0"/>
              </w:rPr>
              <w:t>(5)</w:t>
            </w:r>
            <w:r w:rsidRPr="0049141B">
              <w:rPr>
                <w:rFonts w:ascii="Cambria" w:hAnsi="Cambria"/>
                <w:noProof w:val="0"/>
              </w:rPr>
              <w:tab/>
              <w:t>Oxid</w:t>
            </w:r>
            <w:r w:rsidR="00AC7D8E" w:rsidRPr="0049141B">
              <w:rPr>
                <w:rFonts w:ascii="Cambria" w:hAnsi="Cambria"/>
                <w:noProof w:val="0"/>
              </w:rPr>
              <w:t>ants</w:t>
            </w:r>
          </w:p>
          <w:p w14:paraId="59A6BDB8" w14:textId="0E912950" w:rsidR="000E3C08" w:rsidRPr="0049141B" w:rsidRDefault="000E3C08" w:rsidP="00E12205">
            <w:pPr>
              <w:tabs>
                <w:tab w:val="left" w:pos="942"/>
              </w:tabs>
              <w:bidi w:val="0"/>
              <w:spacing w:after="20"/>
              <w:ind w:left="1021" w:hanging="567"/>
              <w:rPr>
                <w:rFonts w:ascii="Cambria" w:hAnsi="Cambria"/>
                <w:noProof w:val="0"/>
              </w:rPr>
            </w:pPr>
            <w:r w:rsidRPr="0049141B">
              <w:rPr>
                <w:rFonts w:ascii="Cambria" w:hAnsi="Cambria"/>
                <w:noProof w:val="0"/>
              </w:rPr>
              <w:t>(6)</w:t>
            </w:r>
            <w:r w:rsidRPr="0049141B">
              <w:rPr>
                <w:rFonts w:ascii="Cambria" w:hAnsi="Cambria"/>
                <w:noProof w:val="0"/>
              </w:rPr>
              <w:tab/>
              <w:t>Toxi</w:t>
            </w:r>
            <w:r w:rsidR="00C2309E" w:rsidRPr="0049141B">
              <w:rPr>
                <w:rFonts w:ascii="Cambria" w:hAnsi="Cambria"/>
                <w:noProof w:val="0"/>
              </w:rPr>
              <w:t>c substances</w:t>
            </w:r>
          </w:p>
          <w:p w14:paraId="0A43AF05" w14:textId="77777777" w:rsidR="000E3C08" w:rsidRPr="0049141B" w:rsidRDefault="000E3C08" w:rsidP="00E12205">
            <w:pPr>
              <w:tabs>
                <w:tab w:val="left" w:pos="942"/>
              </w:tabs>
              <w:bidi w:val="0"/>
              <w:spacing w:after="20"/>
              <w:ind w:left="1021" w:hanging="567"/>
              <w:rPr>
                <w:rFonts w:ascii="Cambria" w:hAnsi="Cambria"/>
                <w:noProof w:val="0"/>
              </w:rPr>
            </w:pPr>
            <w:r w:rsidRPr="0049141B">
              <w:rPr>
                <w:rFonts w:ascii="Cambria" w:hAnsi="Cambria"/>
                <w:noProof w:val="0"/>
              </w:rPr>
              <w:t>(8)</w:t>
            </w:r>
            <w:r w:rsidRPr="0049141B">
              <w:rPr>
                <w:rFonts w:ascii="Cambria" w:hAnsi="Cambria"/>
                <w:noProof w:val="0"/>
              </w:rPr>
              <w:tab/>
              <w:t>Corrosives</w:t>
            </w:r>
          </w:p>
          <w:p w14:paraId="551DEAFF" w14:textId="5CF2A943" w:rsidR="000E3C08" w:rsidRPr="0049141B" w:rsidRDefault="000E3C08" w:rsidP="00E12205">
            <w:pPr>
              <w:tabs>
                <w:tab w:val="left" w:pos="942"/>
              </w:tabs>
              <w:bidi w:val="0"/>
              <w:spacing w:after="60"/>
              <w:ind w:left="1021" w:hanging="567"/>
              <w:rPr>
                <w:noProof w:val="0"/>
              </w:rPr>
            </w:pPr>
            <w:r w:rsidRPr="0049141B">
              <w:rPr>
                <w:rFonts w:ascii="Cambria" w:hAnsi="Cambria"/>
                <w:noProof w:val="0"/>
              </w:rPr>
              <w:t>(9)</w:t>
            </w:r>
            <w:r w:rsidRPr="0049141B">
              <w:rPr>
                <w:rFonts w:ascii="Cambria" w:hAnsi="Cambria"/>
                <w:noProof w:val="0"/>
              </w:rPr>
              <w:tab/>
              <w:t>Other hazardous materials</w:t>
            </w:r>
          </w:p>
        </w:tc>
      </w:tr>
      <w:tr w:rsidR="00C96B5A" w:rsidRPr="0049141B" w14:paraId="5E3030DE" w14:textId="77777777" w:rsidTr="00E12205">
        <w:tc>
          <w:tcPr>
            <w:tcW w:w="2411" w:type="dxa"/>
          </w:tcPr>
          <w:p w14:paraId="1002F2BD" w14:textId="25C935A9" w:rsidR="00E22DB2" w:rsidRPr="0049141B" w:rsidRDefault="00E22DB2" w:rsidP="000E3C08">
            <w:pPr>
              <w:pStyle w:val="ListParagraph"/>
              <w:spacing w:after="60" w:line="240" w:lineRule="auto"/>
              <w:ind w:left="0"/>
              <w:contextualSpacing w:val="0"/>
              <w:jc w:val="left"/>
            </w:pPr>
          </w:p>
        </w:tc>
        <w:tc>
          <w:tcPr>
            <w:tcW w:w="7512" w:type="dxa"/>
          </w:tcPr>
          <w:p w14:paraId="6C565CA3" w14:textId="77777777" w:rsidR="00E22DB2" w:rsidRPr="0049141B" w:rsidRDefault="00C2309E" w:rsidP="002D4F41">
            <w:pPr>
              <w:pStyle w:val="ListParagraph"/>
              <w:numPr>
                <w:ilvl w:val="0"/>
                <w:numId w:val="2"/>
              </w:numPr>
              <w:spacing w:after="60" w:line="240" w:lineRule="auto"/>
              <w:ind w:left="454" w:hanging="454"/>
              <w:contextualSpacing w:val="0"/>
            </w:pPr>
            <w:r w:rsidRPr="0049141B">
              <w:t>The groups defined above are further sub-divided as follows:</w:t>
            </w:r>
          </w:p>
          <w:p w14:paraId="233E4A99" w14:textId="77777777" w:rsidR="00C2309E" w:rsidRPr="0049141B" w:rsidRDefault="00C2309E" w:rsidP="002D4F41">
            <w:pPr>
              <w:bidi w:val="0"/>
              <w:spacing w:after="20"/>
              <w:ind w:left="454"/>
              <w:rPr>
                <w:rFonts w:ascii="Cambria" w:hAnsi="Cambria"/>
                <w:noProof w:val="0"/>
                <w:u w:val="single"/>
              </w:rPr>
            </w:pPr>
            <w:r w:rsidRPr="0049141B">
              <w:rPr>
                <w:rFonts w:ascii="Cambria" w:hAnsi="Cambria"/>
                <w:b/>
                <w:bCs/>
                <w:noProof w:val="0"/>
                <w:u w:val="single"/>
              </w:rPr>
              <w:t>Group (2)</w:t>
            </w:r>
            <w:r w:rsidRPr="0049141B">
              <w:rPr>
                <w:rFonts w:ascii="Cambria" w:hAnsi="Cambria"/>
                <w:noProof w:val="0"/>
                <w:u w:val="single"/>
              </w:rPr>
              <w:t xml:space="preserve"> </w:t>
            </w:r>
          </w:p>
          <w:p w14:paraId="78C0C0A4" w14:textId="621CD76E" w:rsidR="00C2309E" w:rsidRPr="0049141B" w:rsidRDefault="00C2309E" w:rsidP="002D4F41">
            <w:pPr>
              <w:bidi w:val="0"/>
              <w:spacing w:after="20"/>
              <w:ind w:left="454"/>
              <w:rPr>
                <w:rFonts w:ascii="Cambria" w:hAnsi="Cambria"/>
                <w:noProof w:val="0"/>
              </w:rPr>
            </w:pPr>
            <w:r w:rsidRPr="0049141B">
              <w:rPr>
                <w:rFonts w:ascii="Cambria" w:hAnsi="Cambria"/>
                <w:noProof w:val="0"/>
              </w:rPr>
              <w:t>(2.1)  Flammable gases</w:t>
            </w:r>
          </w:p>
          <w:p w14:paraId="302F8EB0" w14:textId="77777777" w:rsidR="00C2309E" w:rsidRPr="0049141B" w:rsidRDefault="00C2309E" w:rsidP="002D4F41">
            <w:pPr>
              <w:bidi w:val="0"/>
              <w:spacing w:after="20"/>
              <w:ind w:left="454"/>
              <w:rPr>
                <w:rFonts w:ascii="Cambria" w:hAnsi="Cambria"/>
                <w:noProof w:val="0"/>
              </w:rPr>
            </w:pPr>
            <w:r w:rsidRPr="0049141B">
              <w:rPr>
                <w:rFonts w:ascii="Cambria" w:hAnsi="Cambria"/>
                <w:noProof w:val="0"/>
              </w:rPr>
              <w:t>(2.2)  Gases that are not flammable and not toxic</w:t>
            </w:r>
          </w:p>
          <w:p w14:paraId="3F55E795" w14:textId="77777777" w:rsidR="00C2309E" w:rsidRPr="0049141B" w:rsidRDefault="00C2309E" w:rsidP="00303FB4">
            <w:pPr>
              <w:bidi w:val="0"/>
              <w:spacing w:after="60"/>
              <w:ind w:left="454"/>
              <w:rPr>
                <w:rFonts w:ascii="Cambria" w:hAnsi="Cambria"/>
                <w:noProof w:val="0"/>
              </w:rPr>
            </w:pPr>
            <w:r w:rsidRPr="0049141B">
              <w:rPr>
                <w:rFonts w:ascii="Cambria" w:hAnsi="Cambria"/>
                <w:noProof w:val="0"/>
              </w:rPr>
              <w:t>(2.3)  Toxic gases</w:t>
            </w:r>
          </w:p>
          <w:p w14:paraId="6B1B20F6" w14:textId="77777777" w:rsidR="00C2309E" w:rsidRPr="0049141B" w:rsidRDefault="00C2309E" w:rsidP="002D4F41">
            <w:pPr>
              <w:bidi w:val="0"/>
              <w:spacing w:after="20"/>
              <w:ind w:left="454"/>
              <w:rPr>
                <w:rFonts w:ascii="Cambria" w:hAnsi="Cambria"/>
                <w:noProof w:val="0"/>
                <w:u w:val="single"/>
              </w:rPr>
            </w:pPr>
            <w:r w:rsidRPr="0049141B">
              <w:rPr>
                <w:rFonts w:ascii="Cambria" w:hAnsi="Cambria"/>
                <w:b/>
                <w:bCs/>
                <w:noProof w:val="0"/>
                <w:u w:val="single"/>
              </w:rPr>
              <w:t>Group (4)</w:t>
            </w:r>
            <w:r w:rsidRPr="0049141B">
              <w:rPr>
                <w:rFonts w:ascii="Cambria" w:hAnsi="Cambria"/>
                <w:noProof w:val="0"/>
                <w:u w:val="single"/>
              </w:rPr>
              <w:t xml:space="preserve"> </w:t>
            </w:r>
          </w:p>
          <w:p w14:paraId="5D83B2B8" w14:textId="2F1E0011" w:rsidR="00C2309E" w:rsidRPr="0049141B" w:rsidRDefault="00C2309E" w:rsidP="002D4F41">
            <w:pPr>
              <w:bidi w:val="0"/>
              <w:spacing w:after="20"/>
              <w:ind w:left="454"/>
              <w:rPr>
                <w:rFonts w:ascii="Cambria" w:hAnsi="Cambria"/>
                <w:noProof w:val="0"/>
              </w:rPr>
            </w:pPr>
            <w:r w:rsidRPr="0049141B">
              <w:rPr>
                <w:rFonts w:ascii="Cambria" w:hAnsi="Cambria"/>
                <w:noProof w:val="0"/>
              </w:rPr>
              <w:t xml:space="preserve">This also includes materials that are liable to self-combust and those that are liable to releases flammable gases when they </w:t>
            </w:r>
            <w:r w:rsidR="0032197B" w:rsidRPr="0049141B">
              <w:rPr>
                <w:rFonts w:ascii="Cambria" w:hAnsi="Cambria"/>
                <w:noProof w:val="0"/>
              </w:rPr>
              <w:t>come in contact with water</w:t>
            </w:r>
            <w:r w:rsidRPr="0049141B">
              <w:rPr>
                <w:rFonts w:ascii="Cambria" w:hAnsi="Cambria"/>
                <w:noProof w:val="0"/>
              </w:rPr>
              <w:t>.  The marking:</w:t>
            </w:r>
          </w:p>
          <w:p w14:paraId="4F439187" w14:textId="7F0B3D9A" w:rsidR="00C2309E" w:rsidRPr="0049141B" w:rsidRDefault="00C2309E" w:rsidP="002D4F41">
            <w:pPr>
              <w:bidi w:val="0"/>
              <w:spacing w:after="20"/>
              <w:ind w:left="1021" w:hanging="567"/>
              <w:rPr>
                <w:rFonts w:ascii="Cambria" w:hAnsi="Cambria"/>
                <w:noProof w:val="0"/>
              </w:rPr>
            </w:pPr>
            <w:r w:rsidRPr="0049141B">
              <w:rPr>
                <w:rFonts w:ascii="Cambria" w:hAnsi="Cambria"/>
                <w:noProof w:val="0"/>
              </w:rPr>
              <w:t>(4.1)</w:t>
            </w:r>
            <w:r w:rsidR="00BB5163" w:rsidRPr="0049141B">
              <w:rPr>
                <w:rFonts w:ascii="Cambria" w:hAnsi="Cambria"/>
                <w:noProof w:val="0"/>
              </w:rPr>
              <w:tab/>
              <w:t xml:space="preserve"> </w:t>
            </w:r>
            <w:r w:rsidRPr="0049141B">
              <w:rPr>
                <w:rFonts w:ascii="Cambria" w:hAnsi="Cambria"/>
                <w:noProof w:val="0"/>
              </w:rPr>
              <w:t>Flammable solids</w:t>
            </w:r>
          </w:p>
          <w:p w14:paraId="72D744C9" w14:textId="6D474C35" w:rsidR="00C2309E" w:rsidRPr="0049141B" w:rsidRDefault="00C2309E" w:rsidP="002D4F41">
            <w:pPr>
              <w:bidi w:val="0"/>
              <w:spacing w:after="20"/>
              <w:ind w:left="1021" w:hanging="567"/>
              <w:rPr>
                <w:rFonts w:ascii="Cambria" w:hAnsi="Cambria"/>
                <w:noProof w:val="0"/>
              </w:rPr>
            </w:pPr>
            <w:r w:rsidRPr="0049141B">
              <w:rPr>
                <w:rFonts w:ascii="Cambria" w:hAnsi="Cambria"/>
                <w:noProof w:val="0"/>
              </w:rPr>
              <w:t>(4.2 )</w:t>
            </w:r>
            <w:r w:rsidR="00BB5163" w:rsidRPr="0049141B">
              <w:rPr>
                <w:rFonts w:ascii="Cambria" w:hAnsi="Cambria"/>
                <w:noProof w:val="0"/>
              </w:rPr>
              <w:tab/>
              <w:t xml:space="preserve"> </w:t>
            </w:r>
            <w:r w:rsidRPr="0049141B">
              <w:rPr>
                <w:rFonts w:ascii="Cambria" w:hAnsi="Cambria"/>
                <w:noProof w:val="0"/>
              </w:rPr>
              <w:t>Materials that are liable to combust spontaneously</w:t>
            </w:r>
          </w:p>
          <w:p w14:paraId="5C8E422D" w14:textId="77777777" w:rsidR="00C2309E" w:rsidRPr="0049141B" w:rsidRDefault="00C2309E" w:rsidP="00303FB4">
            <w:pPr>
              <w:bidi w:val="0"/>
              <w:spacing w:after="60"/>
              <w:ind w:left="1021" w:hanging="567"/>
              <w:rPr>
                <w:rFonts w:ascii="Cambria" w:hAnsi="Cambria"/>
                <w:noProof w:val="0"/>
              </w:rPr>
            </w:pPr>
            <w:r w:rsidRPr="0049141B">
              <w:rPr>
                <w:rFonts w:ascii="Cambria" w:hAnsi="Cambria"/>
                <w:noProof w:val="0"/>
              </w:rPr>
              <w:t xml:space="preserve">(4.3)  Materials that are liable to combust spontaneously or release </w:t>
            </w:r>
            <w:r w:rsidR="0032197B" w:rsidRPr="0049141B">
              <w:rPr>
                <w:rFonts w:ascii="Cambria" w:hAnsi="Cambria"/>
                <w:noProof w:val="0"/>
              </w:rPr>
              <w:t>flammable gases in dangerous quantities when they come in contact with water.</w:t>
            </w:r>
          </w:p>
          <w:p w14:paraId="1BDBA098" w14:textId="77777777" w:rsidR="0032197B" w:rsidRPr="0049141B" w:rsidRDefault="0032197B" w:rsidP="002D4F41">
            <w:pPr>
              <w:bidi w:val="0"/>
              <w:spacing w:after="20"/>
              <w:ind w:left="454"/>
              <w:rPr>
                <w:rFonts w:ascii="Cambria" w:hAnsi="Cambria"/>
                <w:noProof w:val="0"/>
                <w:u w:val="single"/>
              </w:rPr>
            </w:pPr>
            <w:r w:rsidRPr="0049141B">
              <w:rPr>
                <w:rFonts w:ascii="Cambria" w:hAnsi="Cambria"/>
                <w:b/>
                <w:bCs/>
                <w:noProof w:val="0"/>
                <w:u w:val="single"/>
              </w:rPr>
              <w:t>Group (5)</w:t>
            </w:r>
            <w:r w:rsidRPr="0049141B">
              <w:rPr>
                <w:rFonts w:ascii="Cambria" w:hAnsi="Cambria"/>
                <w:noProof w:val="0"/>
                <w:u w:val="single"/>
              </w:rPr>
              <w:t xml:space="preserve"> </w:t>
            </w:r>
          </w:p>
          <w:p w14:paraId="7558002A" w14:textId="45B65CB4" w:rsidR="0032197B" w:rsidRPr="0049141B" w:rsidRDefault="0032197B" w:rsidP="002D4F41">
            <w:pPr>
              <w:bidi w:val="0"/>
              <w:spacing w:after="20"/>
              <w:ind w:left="1021" w:hanging="567"/>
              <w:rPr>
                <w:rFonts w:ascii="Cambria" w:hAnsi="Cambria"/>
                <w:noProof w:val="0"/>
              </w:rPr>
            </w:pPr>
            <w:r w:rsidRPr="0049141B">
              <w:rPr>
                <w:rFonts w:ascii="Cambria" w:hAnsi="Cambria"/>
                <w:noProof w:val="0"/>
              </w:rPr>
              <w:t>(5.1)</w:t>
            </w:r>
            <w:r w:rsidR="00BB5163" w:rsidRPr="0049141B">
              <w:rPr>
                <w:rFonts w:ascii="Cambria" w:hAnsi="Cambria"/>
                <w:noProof w:val="0"/>
              </w:rPr>
              <w:tab/>
            </w:r>
            <w:r w:rsidRPr="0049141B">
              <w:rPr>
                <w:rFonts w:ascii="Cambria" w:hAnsi="Cambria"/>
                <w:noProof w:val="0"/>
              </w:rPr>
              <w:t>Materials that are liable, through the release of oxygen, to cause or contribute to problems in another material</w:t>
            </w:r>
          </w:p>
          <w:p w14:paraId="2D3C6037" w14:textId="5D55A17E" w:rsidR="0032197B" w:rsidRPr="0049141B" w:rsidRDefault="0032197B" w:rsidP="00303FB4">
            <w:pPr>
              <w:bidi w:val="0"/>
              <w:spacing w:after="60"/>
              <w:ind w:left="1021" w:hanging="567"/>
              <w:rPr>
                <w:rFonts w:ascii="Cambria" w:hAnsi="Cambria"/>
                <w:noProof w:val="0"/>
              </w:rPr>
            </w:pPr>
            <w:r w:rsidRPr="0049141B">
              <w:rPr>
                <w:rFonts w:ascii="Cambria" w:hAnsi="Cambria"/>
                <w:noProof w:val="0"/>
              </w:rPr>
              <w:t>(5.2)</w:t>
            </w:r>
            <w:r w:rsidR="00BB5163" w:rsidRPr="0049141B">
              <w:rPr>
                <w:rFonts w:ascii="Cambria" w:hAnsi="Cambria"/>
                <w:noProof w:val="0"/>
              </w:rPr>
              <w:tab/>
            </w:r>
            <w:r w:rsidRPr="0049141B">
              <w:rPr>
                <w:rFonts w:ascii="Cambria" w:hAnsi="Cambria"/>
                <w:noProof w:val="0"/>
              </w:rPr>
              <w:t xml:space="preserve">Organic </w:t>
            </w:r>
            <w:r w:rsidR="00AC7D8E" w:rsidRPr="0049141B">
              <w:rPr>
                <w:rFonts w:ascii="Cambria" w:hAnsi="Cambria"/>
                <w:noProof w:val="0"/>
              </w:rPr>
              <w:t>oxidants</w:t>
            </w:r>
          </w:p>
          <w:p w14:paraId="3ADD2ADF" w14:textId="77777777" w:rsidR="00AC7D8E" w:rsidRPr="0049141B" w:rsidRDefault="00BB5163" w:rsidP="002D4F41">
            <w:pPr>
              <w:bidi w:val="0"/>
              <w:spacing w:after="20"/>
              <w:ind w:left="454"/>
              <w:rPr>
                <w:rFonts w:ascii="Cambria" w:hAnsi="Cambria"/>
                <w:noProof w:val="0"/>
                <w:u w:val="single"/>
              </w:rPr>
            </w:pPr>
            <w:r w:rsidRPr="0049141B">
              <w:rPr>
                <w:rFonts w:ascii="Cambria" w:hAnsi="Cambria"/>
                <w:b/>
                <w:bCs/>
                <w:noProof w:val="0"/>
                <w:u w:val="single"/>
              </w:rPr>
              <w:t>Group (8)</w:t>
            </w:r>
          </w:p>
          <w:p w14:paraId="180C5785" w14:textId="26057C3B" w:rsidR="00BB5163" w:rsidRPr="0049141B" w:rsidRDefault="00303FB4" w:rsidP="002D4F41">
            <w:pPr>
              <w:bidi w:val="0"/>
              <w:spacing w:after="20"/>
              <w:ind w:left="454"/>
              <w:rPr>
                <w:rFonts w:ascii="Cambria" w:hAnsi="Cambria"/>
                <w:noProof w:val="0"/>
              </w:rPr>
            </w:pPr>
            <w:r w:rsidRPr="0049141B">
              <w:rPr>
                <w:rFonts w:ascii="Cambria" w:hAnsi="Cambria"/>
                <w:noProof w:val="0"/>
              </w:rPr>
              <w:t>The group of corrosives is divided in the University’s directive into three groups, in order to prevent th</w:t>
            </w:r>
            <w:r w:rsidR="007D6951" w:rsidRPr="0049141B">
              <w:rPr>
                <w:rFonts w:ascii="Cambria" w:hAnsi="Cambria"/>
                <w:noProof w:val="0"/>
              </w:rPr>
              <w:t>e</w:t>
            </w:r>
            <w:r w:rsidRPr="0049141B">
              <w:rPr>
                <w:rFonts w:ascii="Cambria" w:hAnsi="Cambria"/>
                <w:noProof w:val="0"/>
              </w:rPr>
              <w:t>ir being stored and transported together:</w:t>
            </w:r>
          </w:p>
          <w:p w14:paraId="44F37D75" w14:textId="77777777" w:rsidR="00303FB4" w:rsidRPr="0049141B" w:rsidRDefault="00303FB4" w:rsidP="002D4F41">
            <w:pPr>
              <w:tabs>
                <w:tab w:val="left" w:pos="659"/>
              </w:tabs>
              <w:bidi w:val="0"/>
              <w:spacing w:after="20"/>
              <w:ind w:left="1021" w:hanging="567"/>
              <w:rPr>
                <w:rFonts w:ascii="Cambria" w:hAnsi="Cambria"/>
                <w:noProof w:val="0"/>
              </w:rPr>
            </w:pPr>
            <w:r w:rsidRPr="0049141B">
              <w:rPr>
                <w:rFonts w:ascii="Cambria" w:hAnsi="Cambria"/>
                <w:noProof w:val="0"/>
              </w:rPr>
              <w:t>(8.1)</w:t>
            </w:r>
            <w:r w:rsidRPr="0049141B">
              <w:rPr>
                <w:rFonts w:ascii="Cambria" w:hAnsi="Cambria"/>
                <w:noProof w:val="0"/>
              </w:rPr>
              <w:tab/>
              <w:t>Acids</w:t>
            </w:r>
          </w:p>
          <w:p w14:paraId="1348A999" w14:textId="4D34FD4B" w:rsidR="00303FB4" w:rsidRPr="0049141B" w:rsidRDefault="00303FB4" w:rsidP="002D4F41">
            <w:pPr>
              <w:tabs>
                <w:tab w:val="left" w:pos="659"/>
              </w:tabs>
              <w:bidi w:val="0"/>
              <w:spacing w:after="20"/>
              <w:ind w:left="1021" w:hanging="567"/>
              <w:rPr>
                <w:rFonts w:ascii="Cambria" w:hAnsi="Cambria"/>
                <w:noProof w:val="0"/>
              </w:rPr>
            </w:pPr>
            <w:r w:rsidRPr="0049141B">
              <w:rPr>
                <w:rFonts w:ascii="Cambria" w:hAnsi="Cambria"/>
                <w:noProof w:val="0"/>
              </w:rPr>
              <w:lastRenderedPageBreak/>
              <w:t>(8.2)</w:t>
            </w:r>
            <w:r w:rsidRPr="0049141B">
              <w:rPr>
                <w:rFonts w:ascii="Cambria" w:hAnsi="Cambria"/>
                <w:noProof w:val="0"/>
              </w:rPr>
              <w:tab/>
              <w:t>Alkalis</w:t>
            </w:r>
          </w:p>
          <w:p w14:paraId="04F4B0CF" w14:textId="77777777" w:rsidR="00303FB4" w:rsidRPr="0049141B" w:rsidRDefault="00303FB4" w:rsidP="00303FB4">
            <w:pPr>
              <w:tabs>
                <w:tab w:val="left" w:pos="659"/>
              </w:tabs>
              <w:bidi w:val="0"/>
              <w:spacing w:after="60"/>
              <w:ind w:left="1021" w:hanging="567"/>
              <w:rPr>
                <w:rFonts w:ascii="Cambria" w:hAnsi="Cambria"/>
                <w:noProof w:val="0"/>
              </w:rPr>
            </w:pPr>
            <w:r w:rsidRPr="0049141B">
              <w:rPr>
                <w:rFonts w:ascii="Cambria" w:hAnsi="Cambria"/>
                <w:noProof w:val="0"/>
              </w:rPr>
              <w:t>(8.3)</w:t>
            </w:r>
            <w:r w:rsidRPr="0049141B">
              <w:rPr>
                <w:rFonts w:ascii="Cambria" w:hAnsi="Cambria"/>
                <w:noProof w:val="0"/>
              </w:rPr>
              <w:tab/>
              <w:t>Other corrosives</w:t>
            </w:r>
          </w:p>
          <w:p w14:paraId="6ACCB57B" w14:textId="77777777" w:rsidR="00303FB4" w:rsidRPr="0049141B" w:rsidRDefault="00303FB4" w:rsidP="002D4F41">
            <w:pPr>
              <w:bidi w:val="0"/>
              <w:spacing w:after="20"/>
              <w:ind w:left="454"/>
              <w:rPr>
                <w:rFonts w:ascii="Cambria" w:hAnsi="Cambria"/>
                <w:b/>
                <w:bCs/>
                <w:noProof w:val="0"/>
                <w:u w:val="single"/>
              </w:rPr>
            </w:pPr>
            <w:r w:rsidRPr="0049141B">
              <w:rPr>
                <w:rFonts w:ascii="Cambria" w:hAnsi="Cambria"/>
                <w:b/>
                <w:bCs/>
                <w:noProof w:val="0"/>
                <w:u w:val="single"/>
              </w:rPr>
              <w:t>Group (9)</w:t>
            </w:r>
          </w:p>
          <w:p w14:paraId="5C26F920" w14:textId="33931488" w:rsidR="00303FB4" w:rsidRPr="0049141B" w:rsidRDefault="00303FB4" w:rsidP="00953415">
            <w:pPr>
              <w:bidi w:val="0"/>
              <w:spacing w:after="60"/>
              <w:ind w:left="454"/>
              <w:rPr>
                <w:rFonts w:ascii="Cambria" w:hAnsi="Cambria"/>
                <w:noProof w:val="0"/>
              </w:rPr>
            </w:pPr>
            <w:r w:rsidRPr="0049141B">
              <w:rPr>
                <w:rFonts w:ascii="Cambria" w:hAnsi="Cambria"/>
                <w:noProof w:val="0"/>
              </w:rPr>
              <w:t xml:space="preserve">At the University, this general groups (according to UN directives) also </w:t>
            </w:r>
            <w:r w:rsidR="0049141B" w:rsidRPr="0049141B">
              <w:rPr>
                <w:rFonts w:ascii="Cambria" w:hAnsi="Cambria"/>
                <w:noProof w:val="0"/>
              </w:rPr>
              <w:t>includes</w:t>
            </w:r>
            <w:r w:rsidRPr="0049141B">
              <w:rPr>
                <w:rFonts w:ascii="Cambria" w:hAnsi="Cambria"/>
                <w:noProof w:val="0"/>
              </w:rPr>
              <w:t xml:space="preserve"> undefined chemical waste.</w:t>
            </w:r>
          </w:p>
        </w:tc>
      </w:tr>
      <w:tr w:rsidR="00C96B5A" w:rsidRPr="0049141B" w14:paraId="0001648E" w14:textId="77777777" w:rsidTr="00E12205">
        <w:tc>
          <w:tcPr>
            <w:tcW w:w="2411" w:type="dxa"/>
          </w:tcPr>
          <w:p w14:paraId="79CF923B" w14:textId="532881BB" w:rsidR="00E22DB2" w:rsidRPr="0049141B" w:rsidRDefault="00BB5163" w:rsidP="000E3C08">
            <w:pPr>
              <w:pStyle w:val="ListParagraph"/>
              <w:spacing w:after="60" w:line="240" w:lineRule="auto"/>
              <w:ind w:left="0"/>
              <w:contextualSpacing w:val="0"/>
              <w:jc w:val="left"/>
            </w:pPr>
            <w:r w:rsidRPr="0049141B">
              <w:lastRenderedPageBreak/>
              <w:tab/>
            </w:r>
          </w:p>
        </w:tc>
        <w:tc>
          <w:tcPr>
            <w:tcW w:w="7512" w:type="dxa"/>
          </w:tcPr>
          <w:p w14:paraId="2B29DC9E" w14:textId="5D1058E2" w:rsidR="00E22DB2" w:rsidRPr="0049141B" w:rsidRDefault="00953415" w:rsidP="007D6951">
            <w:pPr>
              <w:pStyle w:val="ListParagraph"/>
              <w:numPr>
                <w:ilvl w:val="0"/>
                <w:numId w:val="2"/>
              </w:numPr>
              <w:spacing w:after="60" w:line="240" w:lineRule="auto"/>
              <w:ind w:left="454" w:hanging="454"/>
              <w:contextualSpacing w:val="0"/>
            </w:pPr>
            <w:r w:rsidRPr="0049141B">
              <w:t xml:space="preserve">Since </w:t>
            </w:r>
            <w:r w:rsidR="007D6951" w:rsidRPr="0049141B">
              <w:t xml:space="preserve">this concerns </w:t>
            </w:r>
            <w:r w:rsidRPr="0049141B">
              <w:t xml:space="preserve">mixed chemical waste, defining the group is not always easy.  The definition will be given according to the risk </w:t>
            </w:r>
            <w:r w:rsidR="007D6951" w:rsidRPr="0049141B">
              <w:t xml:space="preserve">level </w:t>
            </w:r>
            <w:r w:rsidRPr="0049141B">
              <w:t xml:space="preserve">of the most hazardous </w:t>
            </w:r>
            <w:r w:rsidR="007D6951" w:rsidRPr="0049141B">
              <w:t>substance</w:t>
            </w:r>
            <w:r w:rsidRPr="0049141B">
              <w:t xml:space="preserve"> in the mixture, if </w:t>
            </w:r>
            <w:r w:rsidR="007D6951" w:rsidRPr="0049141B">
              <w:t>possible</w:t>
            </w:r>
            <w:r w:rsidRPr="0049141B">
              <w:t xml:space="preserve">.  When this cannot be done, it is best to define the waste as Group (9) for the purpose of removal. The risk </w:t>
            </w:r>
            <w:r w:rsidR="007D6951" w:rsidRPr="0049141B">
              <w:t xml:space="preserve">level </w:t>
            </w:r>
            <w:r w:rsidRPr="0049141B">
              <w:t>of a substance (compound) will be as defined in the National Fire Protection Association (NFPA) code, which is commonly used in other literature and which defines 4 levels (such that level 0 has no risk).</w:t>
            </w:r>
          </w:p>
        </w:tc>
      </w:tr>
      <w:tr w:rsidR="00953415" w:rsidRPr="0049141B" w14:paraId="4915C9E9" w14:textId="77777777" w:rsidTr="00E12205">
        <w:tc>
          <w:tcPr>
            <w:tcW w:w="2411" w:type="dxa"/>
          </w:tcPr>
          <w:p w14:paraId="507B562E" w14:textId="1C70497B" w:rsidR="00953415" w:rsidRPr="0049141B" w:rsidRDefault="00953415" w:rsidP="00953415">
            <w:pPr>
              <w:pStyle w:val="ListParagraph"/>
              <w:spacing w:after="60" w:line="240" w:lineRule="auto"/>
              <w:ind w:left="0"/>
              <w:contextualSpacing w:val="0"/>
              <w:jc w:val="left"/>
            </w:pPr>
            <w:r w:rsidRPr="0049141B">
              <w:t>Preparing chemical waste for removal</w:t>
            </w:r>
          </w:p>
        </w:tc>
        <w:tc>
          <w:tcPr>
            <w:tcW w:w="7512" w:type="dxa"/>
          </w:tcPr>
          <w:p w14:paraId="26A5FE34" w14:textId="572EB58F" w:rsidR="00953415" w:rsidRPr="0049141B" w:rsidRDefault="00953415" w:rsidP="002D4F41">
            <w:pPr>
              <w:pStyle w:val="ListParagraph"/>
              <w:numPr>
                <w:ilvl w:val="0"/>
                <w:numId w:val="2"/>
              </w:numPr>
              <w:spacing w:after="60" w:line="240" w:lineRule="auto"/>
              <w:ind w:left="454" w:hanging="454"/>
              <w:contextualSpacing w:val="0"/>
            </w:pPr>
            <w:r w:rsidRPr="0049141B">
              <w:t>Chemical waste collected from the lab</w:t>
            </w:r>
            <w:r w:rsidR="007D6951" w:rsidRPr="0049141B">
              <w:t>oratorie</w:t>
            </w:r>
            <w:r w:rsidRPr="0049141B">
              <w:t>s shall be divided according to groups as described in the introduction; it is emphasized that if the group cannot be clearly defined, Group (9) should be used.</w:t>
            </w:r>
          </w:p>
        </w:tc>
      </w:tr>
      <w:tr w:rsidR="00953415" w:rsidRPr="0049141B" w14:paraId="7A8CB070" w14:textId="77777777" w:rsidTr="00E12205">
        <w:tc>
          <w:tcPr>
            <w:tcW w:w="2411" w:type="dxa"/>
          </w:tcPr>
          <w:p w14:paraId="63EFD240" w14:textId="46EDF69B" w:rsidR="00953415" w:rsidRPr="0049141B" w:rsidRDefault="00953415" w:rsidP="00953415">
            <w:pPr>
              <w:pStyle w:val="ListParagraph"/>
              <w:spacing w:after="60" w:line="240" w:lineRule="auto"/>
              <w:ind w:left="0"/>
              <w:contextualSpacing w:val="0"/>
              <w:jc w:val="left"/>
            </w:pPr>
          </w:p>
        </w:tc>
        <w:tc>
          <w:tcPr>
            <w:tcW w:w="7512" w:type="dxa"/>
          </w:tcPr>
          <w:p w14:paraId="0261BC97" w14:textId="08E7A86B" w:rsidR="00953415" w:rsidRPr="0049141B" w:rsidRDefault="00953415" w:rsidP="002D4F41">
            <w:pPr>
              <w:pStyle w:val="ListParagraph"/>
              <w:numPr>
                <w:ilvl w:val="0"/>
                <w:numId w:val="2"/>
              </w:numPr>
              <w:spacing w:after="60" w:line="240" w:lineRule="auto"/>
              <w:ind w:left="454" w:hanging="454"/>
              <w:contextualSpacing w:val="0"/>
            </w:pPr>
            <w:r w:rsidRPr="0049141B">
              <w:t xml:space="preserve">Those dealing with the materials will choose collection containers that are chemically resistant to all of the components from the group being placed inside.  The containers should be made of glass or suitable plastic material. </w:t>
            </w:r>
          </w:p>
        </w:tc>
      </w:tr>
      <w:tr w:rsidR="00953415" w:rsidRPr="0049141B" w14:paraId="02C79929" w14:textId="77777777" w:rsidTr="00E12205">
        <w:tc>
          <w:tcPr>
            <w:tcW w:w="2411" w:type="dxa"/>
          </w:tcPr>
          <w:p w14:paraId="0259B2C1" w14:textId="7697E490" w:rsidR="00953415" w:rsidRPr="0049141B" w:rsidRDefault="00953415" w:rsidP="00953415">
            <w:pPr>
              <w:pStyle w:val="ListParagraph"/>
              <w:spacing w:after="60" w:line="240" w:lineRule="auto"/>
              <w:ind w:left="0"/>
              <w:contextualSpacing w:val="0"/>
              <w:jc w:val="left"/>
            </w:pPr>
          </w:p>
        </w:tc>
        <w:tc>
          <w:tcPr>
            <w:tcW w:w="7512" w:type="dxa"/>
          </w:tcPr>
          <w:p w14:paraId="462B361C" w14:textId="53EB17E6" w:rsidR="00953415" w:rsidRPr="0049141B" w:rsidRDefault="00953415" w:rsidP="00415D8F">
            <w:pPr>
              <w:pStyle w:val="ListParagraph"/>
              <w:numPr>
                <w:ilvl w:val="0"/>
                <w:numId w:val="2"/>
              </w:numPr>
              <w:spacing w:after="60" w:line="240" w:lineRule="auto"/>
              <w:ind w:left="454" w:hanging="454"/>
              <w:contextualSpacing w:val="0"/>
            </w:pPr>
            <w:r w:rsidRPr="0049141B">
              <w:t>Waste containers must have signs indicat</w:t>
            </w:r>
            <w:r w:rsidR="00415D8F" w:rsidRPr="0049141B">
              <w:t>ing</w:t>
            </w:r>
            <w:r w:rsidRPr="0049141B">
              <w:t xml:space="preserve"> the name and number of the group (see </w:t>
            </w:r>
            <w:r w:rsidR="00415D8F" w:rsidRPr="0049141B">
              <w:t>Sections</w:t>
            </w:r>
            <w:r w:rsidRPr="0049141B">
              <w:t xml:space="preserve"> 2 and 3 above) and a sheet should be attached listing the hazardous </w:t>
            </w:r>
            <w:r w:rsidR="00415D8F" w:rsidRPr="0049141B">
              <w:t>substances</w:t>
            </w:r>
            <w:r w:rsidRPr="0049141B">
              <w:t xml:space="preserve"> collected therein.</w:t>
            </w:r>
          </w:p>
        </w:tc>
      </w:tr>
      <w:tr w:rsidR="00953415" w:rsidRPr="0049141B" w14:paraId="7DBD7B78" w14:textId="77777777" w:rsidTr="00E12205">
        <w:tc>
          <w:tcPr>
            <w:tcW w:w="2411" w:type="dxa"/>
          </w:tcPr>
          <w:p w14:paraId="3E4B5ADD" w14:textId="3C2858A1" w:rsidR="00953415" w:rsidRPr="0049141B" w:rsidRDefault="00953415" w:rsidP="00953415">
            <w:pPr>
              <w:pStyle w:val="ListParagraph"/>
              <w:spacing w:after="60" w:line="240" w:lineRule="auto"/>
              <w:ind w:left="0"/>
              <w:contextualSpacing w:val="0"/>
              <w:jc w:val="left"/>
            </w:pPr>
          </w:p>
        </w:tc>
        <w:tc>
          <w:tcPr>
            <w:tcW w:w="7512" w:type="dxa"/>
          </w:tcPr>
          <w:p w14:paraId="48855803" w14:textId="77777777" w:rsidR="00953415" w:rsidRPr="0049141B" w:rsidRDefault="004C53E0" w:rsidP="002D4F41">
            <w:pPr>
              <w:pStyle w:val="ListParagraph"/>
              <w:numPr>
                <w:ilvl w:val="0"/>
                <w:numId w:val="2"/>
              </w:numPr>
              <w:spacing w:after="20" w:line="240" w:lineRule="auto"/>
              <w:ind w:left="454" w:hanging="454"/>
              <w:contextualSpacing w:val="0"/>
              <w:rPr>
                <w:b/>
                <w:bCs/>
              </w:rPr>
            </w:pPr>
            <w:r w:rsidRPr="0049141B">
              <w:rPr>
                <w:b/>
                <w:bCs/>
              </w:rPr>
              <w:t>Use containers that are not large, so that:</w:t>
            </w:r>
          </w:p>
          <w:p w14:paraId="7AD04DC6" w14:textId="77777777" w:rsidR="004C53E0" w:rsidRPr="0049141B" w:rsidRDefault="004C53E0" w:rsidP="002D4F41">
            <w:pPr>
              <w:pStyle w:val="ListParagraph"/>
              <w:numPr>
                <w:ilvl w:val="1"/>
                <w:numId w:val="2"/>
              </w:numPr>
              <w:spacing w:after="20" w:line="240" w:lineRule="auto"/>
              <w:ind w:left="885" w:hanging="431"/>
              <w:contextualSpacing w:val="0"/>
            </w:pPr>
            <w:r w:rsidRPr="0049141B">
              <w:t>Transportation is easier</w:t>
            </w:r>
          </w:p>
          <w:p w14:paraId="7174EF75" w14:textId="77777777" w:rsidR="004C53E0" w:rsidRPr="0049141B" w:rsidRDefault="004C53E0" w:rsidP="002D4F41">
            <w:pPr>
              <w:pStyle w:val="ListParagraph"/>
              <w:numPr>
                <w:ilvl w:val="1"/>
                <w:numId w:val="2"/>
              </w:numPr>
              <w:spacing w:after="20" w:line="240" w:lineRule="auto"/>
              <w:ind w:left="885" w:hanging="431"/>
              <w:contextualSpacing w:val="0"/>
            </w:pPr>
            <w:r w:rsidRPr="0049141B">
              <w:t>Packing is easier</w:t>
            </w:r>
          </w:p>
          <w:p w14:paraId="6BE9A721" w14:textId="63280BB7" w:rsidR="004C53E0" w:rsidRPr="0049141B" w:rsidRDefault="004C53E0" w:rsidP="00415D8F">
            <w:pPr>
              <w:pStyle w:val="ListParagraph"/>
              <w:numPr>
                <w:ilvl w:val="1"/>
                <w:numId w:val="2"/>
              </w:numPr>
              <w:spacing w:after="60" w:line="240" w:lineRule="auto"/>
              <w:ind w:left="885" w:hanging="431"/>
              <w:contextualSpacing w:val="0"/>
            </w:pPr>
            <w:r w:rsidRPr="0049141B">
              <w:t xml:space="preserve">To reduce as much as possible the different </w:t>
            </w:r>
            <w:r w:rsidR="00415D8F" w:rsidRPr="0049141B">
              <w:t>substances</w:t>
            </w:r>
            <w:r w:rsidRPr="0049141B">
              <w:t xml:space="preserve"> in the mixture. Size limitation: Glass – up to 4 liters; polypropylene – up to 20 liters</w:t>
            </w:r>
          </w:p>
        </w:tc>
      </w:tr>
      <w:tr w:rsidR="00953415" w:rsidRPr="0049141B" w14:paraId="6B36E412" w14:textId="77777777" w:rsidTr="00E12205">
        <w:tc>
          <w:tcPr>
            <w:tcW w:w="2411" w:type="dxa"/>
          </w:tcPr>
          <w:p w14:paraId="6936ACBE" w14:textId="72DCFD1D" w:rsidR="00953415" w:rsidRPr="0049141B" w:rsidRDefault="00953415" w:rsidP="00953415">
            <w:pPr>
              <w:pStyle w:val="ListParagraph"/>
              <w:spacing w:after="60" w:line="240" w:lineRule="auto"/>
              <w:ind w:left="0"/>
              <w:contextualSpacing w:val="0"/>
              <w:jc w:val="left"/>
            </w:pPr>
          </w:p>
        </w:tc>
        <w:tc>
          <w:tcPr>
            <w:tcW w:w="7512" w:type="dxa"/>
          </w:tcPr>
          <w:p w14:paraId="718DE27E" w14:textId="3B0C1F98" w:rsidR="00953415" w:rsidRPr="0049141B" w:rsidRDefault="004C53E0" w:rsidP="002D4F41">
            <w:pPr>
              <w:pStyle w:val="ListParagraph"/>
              <w:numPr>
                <w:ilvl w:val="0"/>
                <w:numId w:val="2"/>
              </w:numPr>
              <w:spacing w:after="60" w:line="240" w:lineRule="auto"/>
              <w:ind w:left="510" w:hanging="510"/>
              <w:contextualSpacing w:val="0"/>
            </w:pPr>
            <w:r w:rsidRPr="0049141B">
              <w:t>Collection containers must be well sealed using plugs that are chemically resistant against the substances contained therein.</w:t>
            </w:r>
          </w:p>
        </w:tc>
      </w:tr>
      <w:tr w:rsidR="00953415" w:rsidRPr="0049141B" w14:paraId="2E1466AC" w14:textId="77777777" w:rsidTr="00E12205">
        <w:tc>
          <w:tcPr>
            <w:tcW w:w="2411" w:type="dxa"/>
          </w:tcPr>
          <w:p w14:paraId="33D880C0" w14:textId="22E73F91" w:rsidR="00953415" w:rsidRPr="0049141B" w:rsidRDefault="00953415" w:rsidP="00953415">
            <w:pPr>
              <w:pStyle w:val="ListParagraph"/>
              <w:spacing w:after="60" w:line="240" w:lineRule="auto"/>
              <w:ind w:left="0"/>
              <w:contextualSpacing w:val="0"/>
              <w:jc w:val="left"/>
            </w:pPr>
          </w:p>
        </w:tc>
        <w:tc>
          <w:tcPr>
            <w:tcW w:w="7512" w:type="dxa"/>
          </w:tcPr>
          <w:p w14:paraId="3802461F" w14:textId="77777777" w:rsidR="00953415" w:rsidRPr="0049141B" w:rsidRDefault="00404738" w:rsidP="002D4F41">
            <w:pPr>
              <w:pStyle w:val="ListParagraph"/>
              <w:numPr>
                <w:ilvl w:val="0"/>
                <w:numId w:val="2"/>
              </w:numPr>
              <w:tabs>
                <w:tab w:val="left" w:pos="675"/>
              </w:tabs>
              <w:spacing w:after="20" w:line="240" w:lineRule="auto"/>
              <w:ind w:left="510" w:hanging="510"/>
              <w:contextualSpacing w:val="0"/>
            </w:pPr>
            <w:r w:rsidRPr="0049141B">
              <w:t>Gases (Group 2) – gas canisters</w:t>
            </w:r>
          </w:p>
          <w:p w14:paraId="6F5E8100" w14:textId="0742728D" w:rsidR="00404738" w:rsidRPr="0049141B" w:rsidRDefault="00393557" w:rsidP="002D4F41">
            <w:pPr>
              <w:tabs>
                <w:tab w:val="left" w:pos="675"/>
              </w:tabs>
              <w:bidi w:val="0"/>
              <w:spacing w:after="20"/>
              <w:ind w:left="510" w:hanging="510"/>
              <w:rPr>
                <w:rFonts w:ascii="Cambria" w:hAnsi="Cambria"/>
                <w:noProof w:val="0"/>
              </w:rPr>
            </w:pPr>
            <w:r w:rsidRPr="0049141B">
              <w:rPr>
                <w:rFonts w:ascii="Cambria" w:hAnsi="Cambria"/>
                <w:noProof w:val="0"/>
              </w:rPr>
              <w:tab/>
            </w:r>
            <w:r w:rsidR="00404738" w:rsidRPr="0049141B">
              <w:rPr>
                <w:rFonts w:ascii="Cambria" w:hAnsi="Cambria"/>
                <w:noProof w:val="0"/>
              </w:rPr>
              <w:t>Generally speaking, these should not be removed.</w:t>
            </w:r>
            <w:r w:rsidRPr="0049141B">
              <w:rPr>
                <w:rFonts w:ascii="Cambria" w:hAnsi="Cambria"/>
                <w:noProof w:val="0"/>
              </w:rPr>
              <w:t xml:space="preserve">  Users should have the canisters replaced by the suppliers or through the chemicals warehouse.</w:t>
            </w:r>
          </w:p>
          <w:p w14:paraId="13D0031F" w14:textId="19DC7607" w:rsidR="00393557" w:rsidRPr="0049141B" w:rsidRDefault="00393557" w:rsidP="00415D8F">
            <w:pPr>
              <w:tabs>
                <w:tab w:val="left" w:pos="675"/>
              </w:tabs>
              <w:bidi w:val="0"/>
              <w:spacing w:after="60"/>
              <w:ind w:left="510" w:hanging="510"/>
              <w:rPr>
                <w:rFonts w:ascii="Cambria" w:hAnsi="Cambria"/>
                <w:noProof w:val="0"/>
              </w:rPr>
            </w:pPr>
            <w:r w:rsidRPr="0049141B">
              <w:rPr>
                <w:rFonts w:ascii="Cambria" w:hAnsi="Cambria"/>
                <w:noProof w:val="0"/>
              </w:rPr>
              <w:tab/>
              <w:t xml:space="preserve">In unusual cases where there is no </w:t>
            </w:r>
            <w:r w:rsidR="00415D8F" w:rsidRPr="0049141B">
              <w:rPr>
                <w:rFonts w:ascii="Cambria" w:hAnsi="Cambria"/>
                <w:noProof w:val="0"/>
              </w:rPr>
              <w:t xml:space="preserve">option </w:t>
            </w:r>
            <w:r w:rsidRPr="0049141B">
              <w:rPr>
                <w:rFonts w:ascii="Cambria" w:hAnsi="Cambria"/>
                <w:noProof w:val="0"/>
              </w:rPr>
              <w:t xml:space="preserve">but to remove the gas canister to a waste site, specific </w:t>
            </w:r>
            <w:r w:rsidR="0049141B" w:rsidRPr="0049141B">
              <w:rPr>
                <w:rFonts w:ascii="Cambria" w:hAnsi="Cambria"/>
                <w:noProof w:val="0"/>
              </w:rPr>
              <w:t>arrangements</w:t>
            </w:r>
            <w:r w:rsidRPr="0049141B">
              <w:rPr>
                <w:rFonts w:ascii="Cambria" w:hAnsi="Cambria"/>
                <w:noProof w:val="0"/>
              </w:rPr>
              <w:t xml:space="preserve"> must be coordinated with an external company, in conjunction with the </w:t>
            </w:r>
            <w:r w:rsidRPr="0049141B">
              <w:rPr>
                <w:rFonts w:ascii="Cambria" w:hAnsi="Cambria"/>
                <w:noProof w:val="0"/>
              </w:rPr>
              <w:lastRenderedPageBreak/>
              <w:t>Safety Unit.</w:t>
            </w:r>
          </w:p>
        </w:tc>
      </w:tr>
      <w:tr w:rsidR="00953415" w:rsidRPr="0049141B" w14:paraId="096103ED" w14:textId="77777777" w:rsidTr="00E12205">
        <w:tc>
          <w:tcPr>
            <w:tcW w:w="2411" w:type="dxa"/>
          </w:tcPr>
          <w:p w14:paraId="365A79B0" w14:textId="77DFAC78" w:rsidR="00953415" w:rsidRPr="0049141B" w:rsidRDefault="00953415" w:rsidP="00953415">
            <w:pPr>
              <w:pStyle w:val="ListParagraph"/>
              <w:spacing w:after="60" w:line="240" w:lineRule="auto"/>
              <w:ind w:left="0"/>
              <w:contextualSpacing w:val="0"/>
              <w:jc w:val="left"/>
            </w:pPr>
            <w:r w:rsidRPr="0049141B">
              <w:lastRenderedPageBreak/>
              <w:t>Transferring waste to the removal vehicle</w:t>
            </w:r>
          </w:p>
        </w:tc>
        <w:tc>
          <w:tcPr>
            <w:tcW w:w="7512" w:type="dxa"/>
          </w:tcPr>
          <w:p w14:paraId="47FB2902" w14:textId="073E535B" w:rsidR="00953415" w:rsidRPr="0049141B" w:rsidRDefault="00393557" w:rsidP="002D4F41">
            <w:pPr>
              <w:pStyle w:val="ListParagraph"/>
              <w:numPr>
                <w:ilvl w:val="0"/>
                <w:numId w:val="2"/>
              </w:numPr>
              <w:tabs>
                <w:tab w:val="left" w:pos="675"/>
              </w:tabs>
              <w:spacing w:after="60" w:line="240" w:lineRule="auto"/>
              <w:ind w:left="510" w:hanging="510"/>
              <w:contextualSpacing w:val="0"/>
            </w:pPr>
            <w:r w:rsidRPr="0049141B">
              <w:t>The contractor company must ensure that waste being transported is separated by group.</w:t>
            </w:r>
          </w:p>
        </w:tc>
      </w:tr>
      <w:tr w:rsidR="00953415" w:rsidRPr="0049141B" w14:paraId="25817DCA" w14:textId="77777777" w:rsidTr="00E12205">
        <w:tc>
          <w:tcPr>
            <w:tcW w:w="2411" w:type="dxa"/>
          </w:tcPr>
          <w:p w14:paraId="5A36C8C0" w14:textId="77777777" w:rsidR="00953415" w:rsidRPr="0049141B" w:rsidRDefault="00953415" w:rsidP="00953415">
            <w:pPr>
              <w:pStyle w:val="ListParagraph"/>
              <w:spacing w:after="60" w:line="240" w:lineRule="auto"/>
              <w:ind w:left="0"/>
              <w:contextualSpacing w:val="0"/>
              <w:jc w:val="left"/>
            </w:pPr>
          </w:p>
        </w:tc>
        <w:tc>
          <w:tcPr>
            <w:tcW w:w="7512" w:type="dxa"/>
          </w:tcPr>
          <w:p w14:paraId="02C04771" w14:textId="373841DB" w:rsidR="00953415" w:rsidRPr="0049141B" w:rsidRDefault="00393557" w:rsidP="002D4F41">
            <w:pPr>
              <w:pStyle w:val="ListParagraph"/>
              <w:numPr>
                <w:ilvl w:val="0"/>
                <w:numId w:val="2"/>
              </w:numPr>
              <w:tabs>
                <w:tab w:val="left" w:pos="675"/>
              </w:tabs>
              <w:spacing w:after="60" w:line="240" w:lineRule="auto"/>
              <w:ind w:left="510" w:hanging="510"/>
              <w:contextualSpacing w:val="0"/>
            </w:pPr>
            <w:r w:rsidRPr="0049141B">
              <w:t>Fragile or soft collection containers (from glass or soft plastic material) will be transported in external protective containers (from metal or hard plastic).</w:t>
            </w:r>
          </w:p>
        </w:tc>
      </w:tr>
      <w:tr w:rsidR="00953415" w:rsidRPr="0049141B" w14:paraId="1CD8CDD3" w14:textId="77777777" w:rsidTr="00E12205">
        <w:tc>
          <w:tcPr>
            <w:tcW w:w="2411" w:type="dxa"/>
          </w:tcPr>
          <w:p w14:paraId="18AD4B9D" w14:textId="77777777" w:rsidR="00953415" w:rsidRPr="0049141B" w:rsidRDefault="00953415" w:rsidP="00953415">
            <w:pPr>
              <w:pStyle w:val="ListParagraph"/>
              <w:spacing w:after="60" w:line="240" w:lineRule="auto"/>
              <w:ind w:left="0"/>
              <w:contextualSpacing w:val="0"/>
              <w:jc w:val="left"/>
            </w:pPr>
          </w:p>
        </w:tc>
        <w:tc>
          <w:tcPr>
            <w:tcW w:w="7512" w:type="dxa"/>
          </w:tcPr>
          <w:p w14:paraId="4B3A764A" w14:textId="71F55745" w:rsidR="00953415" w:rsidRPr="0049141B" w:rsidRDefault="009A3C67" w:rsidP="002D4F41">
            <w:pPr>
              <w:pStyle w:val="ListParagraph"/>
              <w:numPr>
                <w:ilvl w:val="0"/>
                <w:numId w:val="2"/>
              </w:numPr>
              <w:tabs>
                <w:tab w:val="left" w:pos="675"/>
              </w:tabs>
              <w:spacing w:after="60" w:line="240" w:lineRule="auto"/>
              <w:ind w:left="510" w:hanging="510"/>
              <w:contextualSpacing w:val="0"/>
            </w:pPr>
            <w:r w:rsidRPr="0049141B">
              <w:t xml:space="preserve">The contractor company handling transportation will use handcarts with a rigid barrier at a height that will keep the containers from falling. </w:t>
            </w:r>
          </w:p>
        </w:tc>
      </w:tr>
      <w:tr w:rsidR="00953415" w:rsidRPr="0049141B" w14:paraId="5FD60F65" w14:textId="77777777" w:rsidTr="00E12205">
        <w:tc>
          <w:tcPr>
            <w:tcW w:w="2411" w:type="dxa"/>
          </w:tcPr>
          <w:p w14:paraId="2ED10AC8" w14:textId="77777777" w:rsidR="00953415" w:rsidRPr="0049141B" w:rsidRDefault="00953415" w:rsidP="00953415">
            <w:pPr>
              <w:pStyle w:val="ListParagraph"/>
              <w:spacing w:after="60" w:line="240" w:lineRule="auto"/>
              <w:ind w:left="0"/>
              <w:contextualSpacing w:val="0"/>
              <w:jc w:val="left"/>
            </w:pPr>
          </w:p>
        </w:tc>
        <w:tc>
          <w:tcPr>
            <w:tcW w:w="7512" w:type="dxa"/>
          </w:tcPr>
          <w:p w14:paraId="24976A4F" w14:textId="0072DAF4" w:rsidR="00953415" w:rsidRPr="0049141B" w:rsidRDefault="009A3C67" w:rsidP="002D4F41">
            <w:pPr>
              <w:pStyle w:val="ListParagraph"/>
              <w:numPr>
                <w:ilvl w:val="0"/>
                <w:numId w:val="2"/>
              </w:numPr>
              <w:tabs>
                <w:tab w:val="left" w:pos="675"/>
              </w:tabs>
              <w:spacing w:after="60" w:line="240" w:lineRule="auto"/>
              <w:ind w:left="510" w:hanging="510"/>
              <w:contextualSpacing w:val="0"/>
            </w:pPr>
            <w:r w:rsidRPr="0049141B">
              <w:t>Collection of the chemical waste by the contractor company shall be done in the presence of one of the custodians in the building from which the waste is being removed, unless decided otherwise.</w:t>
            </w:r>
          </w:p>
        </w:tc>
      </w:tr>
      <w:tr w:rsidR="00953415" w:rsidRPr="0049141B" w14:paraId="243983A5" w14:textId="77777777" w:rsidTr="00E12205">
        <w:tc>
          <w:tcPr>
            <w:tcW w:w="2411" w:type="dxa"/>
          </w:tcPr>
          <w:p w14:paraId="21C71933" w14:textId="77777777" w:rsidR="00953415" w:rsidRPr="0049141B" w:rsidRDefault="00953415" w:rsidP="00953415">
            <w:pPr>
              <w:pStyle w:val="ListParagraph"/>
              <w:spacing w:after="60" w:line="240" w:lineRule="auto"/>
              <w:ind w:left="0"/>
              <w:contextualSpacing w:val="0"/>
              <w:jc w:val="left"/>
            </w:pPr>
          </w:p>
        </w:tc>
        <w:tc>
          <w:tcPr>
            <w:tcW w:w="7512" w:type="dxa"/>
          </w:tcPr>
          <w:p w14:paraId="6E1E874D" w14:textId="364B7767" w:rsidR="00953415" w:rsidRPr="0049141B" w:rsidRDefault="009A3C67" w:rsidP="00415D8F">
            <w:pPr>
              <w:pStyle w:val="ListParagraph"/>
              <w:numPr>
                <w:ilvl w:val="0"/>
                <w:numId w:val="2"/>
              </w:numPr>
              <w:tabs>
                <w:tab w:val="left" w:pos="675"/>
              </w:tabs>
              <w:spacing w:after="60" w:line="240" w:lineRule="auto"/>
              <w:ind w:left="510" w:hanging="510"/>
              <w:contextualSpacing w:val="0"/>
            </w:pPr>
            <w:r w:rsidRPr="0049141B">
              <w:t xml:space="preserve">Those using the </w:t>
            </w:r>
            <w:r w:rsidR="00415D8F" w:rsidRPr="0049141B">
              <w:t>substances</w:t>
            </w:r>
            <w:r w:rsidRPr="0049141B">
              <w:t xml:space="preserve">/who created the waste will instruct the contractor company’s driver regarding specific safety instructions </w:t>
            </w:r>
            <w:r w:rsidR="00415D8F" w:rsidRPr="0049141B">
              <w:t xml:space="preserve">for </w:t>
            </w:r>
            <w:r w:rsidRPr="0049141B">
              <w:t>the substances they are sending.</w:t>
            </w:r>
          </w:p>
        </w:tc>
      </w:tr>
      <w:tr w:rsidR="00953415" w:rsidRPr="0049141B" w14:paraId="5AF5CAED" w14:textId="77777777" w:rsidTr="00E12205">
        <w:tc>
          <w:tcPr>
            <w:tcW w:w="2411" w:type="dxa"/>
          </w:tcPr>
          <w:p w14:paraId="027467ED" w14:textId="77777777" w:rsidR="00953415" w:rsidRPr="0049141B" w:rsidRDefault="00953415" w:rsidP="00953415">
            <w:pPr>
              <w:pStyle w:val="ListParagraph"/>
              <w:spacing w:after="60" w:line="240" w:lineRule="auto"/>
              <w:ind w:left="0"/>
              <w:contextualSpacing w:val="0"/>
              <w:jc w:val="left"/>
            </w:pPr>
          </w:p>
        </w:tc>
        <w:tc>
          <w:tcPr>
            <w:tcW w:w="7512" w:type="dxa"/>
          </w:tcPr>
          <w:p w14:paraId="22CCBC70" w14:textId="77777777" w:rsidR="00953415" w:rsidRPr="0049141B" w:rsidRDefault="009A3C67" w:rsidP="002D4F41">
            <w:pPr>
              <w:pStyle w:val="ListParagraph"/>
              <w:numPr>
                <w:ilvl w:val="0"/>
                <w:numId w:val="2"/>
              </w:numPr>
              <w:tabs>
                <w:tab w:val="left" w:pos="675"/>
              </w:tabs>
              <w:spacing w:after="20" w:line="240" w:lineRule="auto"/>
              <w:ind w:left="510" w:hanging="510"/>
              <w:contextualSpacing w:val="0"/>
              <w:rPr>
                <w:b/>
                <w:bCs/>
              </w:rPr>
            </w:pPr>
            <w:r w:rsidRPr="0049141B">
              <w:rPr>
                <w:b/>
                <w:bCs/>
              </w:rPr>
              <w:t>The contractor company that is transporting the waste will ensure that the following conditions are fulfilled:</w:t>
            </w:r>
          </w:p>
          <w:p w14:paraId="2FA3A3FA" w14:textId="23864A34" w:rsidR="009A3C67" w:rsidRPr="0049141B" w:rsidRDefault="009A3C67" w:rsidP="00415D8F">
            <w:pPr>
              <w:pStyle w:val="ListParagraph"/>
              <w:numPr>
                <w:ilvl w:val="1"/>
                <w:numId w:val="2"/>
              </w:numPr>
              <w:tabs>
                <w:tab w:val="left" w:pos="675"/>
              </w:tabs>
              <w:spacing w:after="20" w:line="240" w:lineRule="auto"/>
              <w:ind w:left="1134" w:hanging="624"/>
              <w:contextualSpacing w:val="0"/>
            </w:pPr>
            <w:r w:rsidRPr="0049141B">
              <w:t>Th</w:t>
            </w:r>
            <w:r w:rsidR="00415D8F" w:rsidRPr="0049141B">
              <w:t>e people</w:t>
            </w:r>
            <w:r w:rsidRPr="0049141B">
              <w:t xml:space="preserve"> hand</w:t>
            </w:r>
            <w:r w:rsidR="00415D8F" w:rsidRPr="0049141B">
              <w:t>l</w:t>
            </w:r>
            <w:r w:rsidRPr="0049141B">
              <w:t xml:space="preserve">ing transportation must wear a full set of work clothes and </w:t>
            </w:r>
            <w:r w:rsidR="00415D8F" w:rsidRPr="0049141B">
              <w:t xml:space="preserve">be </w:t>
            </w:r>
            <w:r w:rsidRPr="0049141B">
              <w:t>equipped with protective goggles</w:t>
            </w:r>
          </w:p>
          <w:p w14:paraId="46C3A74B" w14:textId="16FB1C78" w:rsidR="009A3C67" w:rsidRPr="0049141B" w:rsidRDefault="005A5629" w:rsidP="005D5D78">
            <w:pPr>
              <w:pStyle w:val="ListParagraph"/>
              <w:numPr>
                <w:ilvl w:val="1"/>
                <w:numId w:val="2"/>
              </w:numPr>
              <w:tabs>
                <w:tab w:val="left" w:pos="675"/>
              </w:tabs>
              <w:spacing w:after="60" w:line="240" w:lineRule="auto"/>
              <w:ind w:left="1134" w:hanging="624"/>
              <w:contextualSpacing w:val="0"/>
            </w:pPr>
            <w:r w:rsidRPr="0049141B">
              <w:t xml:space="preserve">The hand cart should have a bag with emergency equipment that includes:  A 1.5 kg. powder fire extinguisher, protective mask + 2 ABEK filters (multiple components), neoprene gloves, absorption material in case of a </w:t>
            </w:r>
            <w:r w:rsidR="005D5D78" w:rsidRPr="0049141B">
              <w:t>spill</w:t>
            </w:r>
            <w:r w:rsidRPr="0049141B">
              <w:t xml:space="preserve">, and </w:t>
            </w:r>
            <w:r w:rsidR="005D5D78" w:rsidRPr="0049141B">
              <w:t xml:space="preserve">an </w:t>
            </w:r>
            <w:r w:rsidRPr="0049141B">
              <w:t>emergency instructions</w:t>
            </w:r>
            <w:r w:rsidR="005D5D78" w:rsidRPr="0049141B">
              <w:t xml:space="preserve"> sheet</w:t>
            </w:r>
            <w:r w:rsidRPr="0049141B">
              <w:t>.</w:t>
            </w:r>
          </w:p>
        </w:tc>
      </w:tr>
      <w:tr w:rsidR="00953415" w:rsidRPr="0049141B" w14:paraId="6061E89D" w14:textId="77777777" w:rsidTr="00E12205">
        <w:tc>
          <w:tcPr>
            <w:tcW w:w="2411" w:type="dxa"/>
          </w:tcPr>
          <w:p w14:paraId="605B2A63" w14:textId="77777777" w:rsidR="00953415" w:rsidRPr="0049141B" w:rsidRDefault="00953415" w:rsidP="00953415">
            <w:pPr>
              <w:pStyle w:val="ListParagraph"/>
              <w:spacing w:after="60" w:line="240" w:lineRule="auto"/>
              <w:ind w:left="0"/>
              <w:contextualSpacing w:val="0"/>
              <w:jc w:val="left"/>
            </w:pPr>
          </w:p>
        </w:tc>
        <w:tc>
          <w:tcPr>
            <w:tcW w:w="7512" w:type="dxa"/>
          </w:tcPr>
          <w:p w14:paraId="24761074" w14:textId="46135348" w:rsidR="00953415" w:rsidRPr="0049141B" w:rsidRDefault="005A5629" w:rsidP="002D4F41">
            <w:pPr>
              <w:pStyle w:val="ListParagraph"/>
              <w:numPr>
                <w:ilvl w:val="0"/>
                <w:numId w:val="2"/>
              </w:numPr>
              <w:tabs>
                <w:tab w:val="left" w:pos="675"/>
              </w:tabs>
              <w:spacing w:after="60" w:line="240" w:lineRule="auto"/>
              <w:ind w:left="510" w:hanging="510"/>
              <w:contextualSpacing w:val="0"/>
            </w:pPr>
            <w:r w:rsidRPr="0049141B">
              <w:t>Smoking when transferring chemical waste is prohibited.  Do not make any additional stops when transporting the waste.</w:t>
            </w:r>
          </w:p>
        </w:tc>
      </w:tr>
      <w:tr w:rsidR="00953415" w:rsidRPr="0049141B" w14:paraId="7BFC0488" w14:textId="77777777" w:rsidTr="00E12205">
        <w:tc>
          <w:tcPr>
            <w:tcW w:w="2411" w:type="dxa"/>
          </w:tcPr>
          <w:p w14:paraId="60A0AFCC" w14:textId="77777777" w:rsidR="00953415" w:rsidRPr="0049141B" w:rsidRDefault="00953415" w:rsidP="00953415">
            <w:pPr>
              <w:pStyle w:val="ListParagraph"/>
              <w:spacing w:after="60" w:line="240" w:lineRule="auto"/>
              <w:ind w:left="0"/>
              <w:contextualSpacing w:val="0"/>
              <w:jc w:val="left"/>
            </w:pPr>
          </w:p>
        </w:tc>
        <w:tc>
          <w:tcPr>
            <w:tcW w:w="7512" w:type="dxa"/>
          </w:tcPr>
          <w:p w14:paraId="0F84FD74" w14:textId="7BF3966A" w:rsidR="00953415" w:rsidRPr="0049141B" w:rsidRDefault="005A5629" w:rsidP="005D5D78">
            <w:pPr>
              <w:pStyle w:val="ListParagraph"/>
              <w:numPr>
                <w:ilvl w:val="0"/>
                <w:numId w:val="2"/>
              </w:numPr>
              <w:tabs>
                <w:tab w:val="left" w:pos="675"/>
              </w:tabs>
              <w:spacing w:after="60" w:line="240" w:lineRule="auto"/>
              <w:ind w:left="510" w:hanging="510"/>
              <w:contextualSpacing w:val="0"/>
            </w:pPr>
            <w:r w:rsidRPr="0049141B">
              <w:t xml:space="preserve">The contractor company is responsible for removing the waste and coordinating </w:t>
            </w:r>
            <w:r w:rsidR="005D5D78" w:rsidRPr="0049141B">
              <w:t xml:space="preserve">its </w:t>
            </w:r>
            <w:r w:rsidRPr="0049141B">
              <w:t>transfer to the main dump sites at Neot H</w:t>
            </w:r>
            <w:r w:rsidR="005D5D78" w:rsidRPr="0049141B">
              <w:t>ovav</w:t>
            </w:r>
            <w:r w:rsidRPr="0049141B">
              <w:t>.</w:t>
            </w:r>
          </w:p>
        </w:tc>
      </w:tr>
      <w:tr w:rsidR="00953415" w:rsidRPr="0049141B" w14:paraId="3CE1AB17" w14:textId="77777777" w:rsidTr="00E12205">
        <w:tc>
          <w:tcPr>
            <w:tcW w:w="2411" w:type="dxa"/>
          </w:tcPr>
          <w:p w14:paraId="69CE4493" w14:textId="77777777" w:rsidR="00953415" w:rsidRPr="0049141B" w:rsidRDefault="00953415" w:rsidP="00953415">
            <w:pPr>
              <w:pStyle w:val="ListParagraph"/>
              <w:spacing w:after="60" w:line="240" w:lineRule="auto"/>
              <w:ind w:left="0"/>
              <w:contextualSpacing w:val="0"/>
              <w:jc w:val="left"/>
            </w:pPr>
          </w:p>
        </w:tc>
        <w:tc>
          <w:tcPr>
            <w:tcW w:w="7512" w:type="dxa"/>
          </w:tcPr>
          <w:p w14:paraId="29299FBC" w14:textId="6472E4C3" w:rsidR="00953415" w:rsidRPr="0049141B" w:rsidRDefault="00DE141D" w:rsidP="00FA04C6">
            <w:pPr>
              <w:pStyle w:val="ListParagraph"/>
              <w:numPr>
                <w:ilvl w:val="0"/>
                <w:numId w:val="2"/>
              </w:numPr>
              <w:tabs>
                <w:tab w:val="left" w:pos="675"/>
              </w:tabs>
              <w:spacing w:after="60" w:line="240" w:lineRule="auto"/>
              <w:ind w:left="510" w:hanging="510"/>
              <w:contextualSpacing w:val="0"/>
            </w:pPr>
            <w:r>
              <w:t xml:space="preserve">The </w:t>
            </w:r>
            <w:r w:rsidR="005A5629" w:rsidRPr="0049141B">
              <w:t>sector head of each faculty, or the department heads/administrators and administrators of the school removing the waste materials</w:t>
            </w:r>
            <w:r>
              <w:t xml:space="preserve"> are responsible for performance of these </w:t>
            </w:r>
            <w:r w:rsidR="00FA04C6">
              <w:t>directives</w:t>
            </w:r>
            <w:bookmarkStart w:id="0" w:name="_GoBack"/>
            <w:bookmarkEnd w:id="0"/>
            <w:r w:rsidR="005A5629" w:rsidRPr="0049141B">
              <w:t>.</w:t>
            </w:r>
          </w:p>
        </w:tc>
      </w:tr>
      <w:tr w:rsidR="001D0976" w:rsidRPr="0049141B" w14:paraId="1D8C45BA" w14:textId="77777777" w:rsidTr="00E12205">
        <w:tc>
          <w:tcPr>
            <w:tcW w:w="2411" w:type="dxa"/>
          </w:tcPr>
          <w:p w14:paraId="5046A6E9" w14:textId="77777777" w:rsidR="001D0976" w:rsidRPr="0049141B" w:rsidRDefault="001D0976" w:rsidP="00953415">
            <w:pPr>
              <w:pStyle w:val="ListParagraph"/>
              <w:spacing w:after="60" w:line="240" w:lineRule="auto"/>
              <w:ind w:left="0"/>
              <w:contextualSpacing w:val="0"/>
              <w:jc w:val="left"/>
            </w:pPr>
          </w:p>
        </w:tc>
        <w:tc>
          <w:tcPr>
            <w:tcW w:w="7512" w:type="dxa"/>
          </w:tcPr>
          <w:p w14:paraId="417E18DA" w14:textId="77777777" w:rsidR="001D0976" w:rsidRPr="0049141B" w:rsidRDefault="001D0976" w:rsidP="001D0976">
            <w:pPr>
              <w:tabs>
                <w:tab w:val="left" w:pos="675"/>
              </w:tabs>
              <w:bidi w:val="0"/>
              <w:spacing w:after="60"/>
              <w:rPr>
                <w:noProof w:val="0"/>
              </w:rPr>
            </w:pPr>
          </w:p>
        </w:tc>
      </w:tr>
    </w:tbl>
    <w:p w14:paraId="14915941" w14:textId="2719BCE0" w:rsidR="00E22DB2" w:rsidRPr="0049141B" w:rsidRDefault="00E22DB2" w:rsidP="00E22DB2">
      <w:pPr>
        <w:bidi w:val="0"/>
        <w:spacing w:after="120" w:line="276" w:lineRule="auto"/>
        <w:rPr>
          <w:rFonts w:ascii="Cambria" w:hAnsi="Cambria"/>
          <w:noProof w:val="0"/>
        </w:rPr>
      </w:pPr>
    </w:p>
    <w:p w14:paraId="0BF3776F" w14:textId="1550C2C1" w:rsidR="00E22DB2" w:rsidRPr="0049141B" w:rsidRDefault="00E22DB2" w:rsidP="00E22DB2">
      <w:pPr>
        <w:bidi w:val="0"/>
        <w:spacing w:after="120" w:line="276" w:lineRule="auto"/>
        <w:rPr>
          <w:rFonts w:ascii="Cambria" w:hAnsi="Cambria"/>
          <w:noProof w:val="0"/>
        </w:rPr>
      </w:pPr>
    </w:p>
    <w:sectPr w:rsidR="00E22DB2" w:rsidRPr="0049141B" w:rsidSect="00C85EE6">
      <w:headerReference w:type="default" r:id="rId8"/>
      <w:endnotePr>
        <w:numFmt w:val="lowerLetter"/>
      </w:endnotePr>
      <w:pgSz w:w="11906" w:h="16838"/>
      <w:pgMar w:top="1418" w:right="1418" w:bottom="1418"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73768" w14:textId="77777777" w:rsidR="00E3540D" w:rsidRDefault="00E3540D">
      <w:r>
        <w:separator/>
      </w:r>
    </w:p>
  </w:endnote>
  <w:endnote w:type="continuationSeparator" w:id="0">
    <w:p w14:paraId="5786F29C" w14:textId="77777777" w:rsidR="00E3540D" w:rsidRDefault="00E3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E0D83" w14:textId="77777777" w:rsidR="00E3540D" w:rsidRDefault="00E3540D">
      <w:r>
        <w:separator/>
      </w:r>
    </w:p>
  </w:footnote>
  <w:footnote w:type="continuationSeparator" w:id="0">
    <w:p w14:paraId="4A5A983A" w14:textId="77777777" w:rsidR="00E3540D" w:rsidRDefault="00E35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AFE6" w14:textId="77777777" w:rsidR="00E22DB2" w:rsidRPr="00485037" w:rsidRDefault="00E22DB2" w:rsidP="00E22DB2">
    <w:pPr>
      <w:pStyle w:val="Header"/>
      <w:bidi w:val="0"/>
      <w:jc w:val="center"/>
      <w:rPr>
        <w:rFonts w:ascii="Cambria" w:hAnsi="Cambria"/>
        <w:b/>
        <w:bCs/>
        <w:sz w:val="26"/>
        <w:szCs w:val="26"/>
      </w:rPr>
    </w:pPr>
    <w:r w:rsidRPr="00485037">
      <w:rPr>
        <w:rFonts w:ascii="Cambria" w:hAnsi="Cambria"/>
        <w:b/>
        <w:bCs/>
        <w:sz w:val="26"/>
        <w:szCs w:val="26"/>
      </w:rPr>
      <w:t>Tel Aviv University</w:t>
    </w:r>
  </w:p>
  <w:p w14:paraId="4CB8F9C0" w14:textId="04B74427" w:rsidR="00E22DB2" w:rsidRPr="00485037" w:rsidRDefault="00E22DB2" w:rsidP="00E22DB2">
    <w:pPr>
      <w:pStyle w:val="Header"/>
      <w:bidi w:val="0"/>
      <w:jc w:val="center"/>
      <w:rPr>
        <w:rFonts w:ascii="Cambria" w:hAnsi="Cambria"/>
        <w:szCs w:val="24"/>
      </w:rPr>
    </w:pPr>
    <w:r w:rsidRPr="00485037">
      <w:rPr>
        <w:rFonts w:ascii="Cambria" w:hAnsi="Cambria"/>
        <w:szCs w:val="24"/>
      </w:rPr>
      <w:t>Safety Unit</w:t>
    </w:r>
  </w:p>
  <w:p w14:paraId="6F520EF8" w14:textId="77777777" w:rsidR="00E22DB2" w:rsidRPr="00485037" w:rsidRDefault="00E22DB2" w:rsidP="00E22DB2">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939"/>
      <w:gridCol w:w="1465"/>
      <w:gridCol w:w="1964"/>
      <w:gridCol w:w="1791"/>
    </w:tblGrid>
    <w:tr w:rsidR="00E22DB2" w:rsidRPr="00485037" w14:paraId="01D3CFAD" w14:textId="77777777" w:rsidTr="000F5C43">
      <w:trPr>
        <w:jc w:val="center"/>
      </w:trPr>
      <w:tc>
        <w:tcPr>
          <w:tcW w:w="3256" w:type="dxa"/>
          <w:vAlign w:val="center"/>
        </w:tcPr>
        <w:p w14:paraId="3A15203A" w14:textId="77777777" w:rsidR="00E22DB2" w:rsidRPr="00485037" w:rsidRDefault="00E22DB2" w:rsidP="00E22DB2">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97" w:type="dxa"/>
        </w:tcPr>
        <w:p w14:paraId="57822CB5" w14:textId="77777777" w:rsidR="00E22DB2" w:rsidRPr="00485037" w:rsidRDefault="00E22DB2" w:rsidP="00E22DB2">
          <w:pPr>
            <w:pStyle w:val="Header"/>
            <w:bidi w:val="0"/>
            <w:rPr>
              <w:rFonts w:ascii="Cambria" w:hAnsi="Cambria"/>
              <w:b/>
              <w:bCs/>
            </w:rPr>
          </w:pPr>
        </w:p>
      </w:tc>
      <w:tc>
        <w:tcPr>
          <w:tcW w:w="1523" w:type="dxa"/>
        </w:tcPr>
        <w:p w14:paraId="37F9FB37" w14:textId="77777777" w:rsidR="00E22DB2" w:rsidRPr="00485037" w:rsidRDefault="00E22DB2" w:rsidP="00E22DB2">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FA04C6">
            <w:rPr>
              <w:rFonts w:ascii="Cambria" w:hAnsi="Cambria"/>
              <w:b/>
              <w:bCs/>
              <w:u w:val="single"/>
            </w:rPr>
            <w:t>3</w:t>
          </w:r>
          <w:r w:rsidRPr="00485037">
            <w:rPr>
              <w:rFonts w:ascii="Cambria" w:hAnsi="Cambria"/>
              <w:b/>
              <w:bCs/>
              <w:u w:val="single"/>
            </w:rPr>
            <w:fldChar w:fldCharType="end"/>
          </w:r>
        </w:p>
        <w:p w14:paraId="0C273032" w14:textId="77777777" w:rsidR="00E22DB2" w:rsidRPr="00485037" w:rsidRDefault="00E22DB2" w:rsidP="00E22DB2">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FA04C6">
            <w:rPr>
              <w:rFonts w:ascii="Cambria" w:hAnsi="Cambria"/>
            </w:rPr>
            <w:t>3</w:t>
          </w:r>
          <w:r w:rsidRPr="00485037">
            <w:rPr>
              <w:rFonts w:ascii="Cambria" w:hAnsi="Cambria"/>
            </w:rPr>
            <w:fldChar w:fldCharType="end"/>
          </w:r>
        </w:p>
      </w:tc>
      <w:tc>
        <w:tcPr>
          <w:tcW w:w="2016" w:type="dxa"/>
        </w:tcPr>
        <w:p w14:paraId="56709F04" w14:textId="77777777" w:rsidR="00E22DB2" w:rsidRPr="00485037" w:rsidRDefault="00E22DB2" w:rsidP="00E22DB2">
          <w:pPr>
            <w:pStyle w:val="Header"/>
            <w:bidi w:val="0"/>
            <w:jc w:val="center"/>
            <w:rPr>
              <w:rFonts w:ascii="Cambria" w:hAnsi="Cambria"/>
              <w:b/>
              <w:bCs/>
            </w:rPr>
          </w:pPr>
          <w:r w:rsidRPr="00485037">
            <w:rPr>
              <w:rFonts w:ascii="Cambria" w:hAnsi="Cambria"/>
              <w:b/>
              <w:bCs/>
              <w:u w:val="single"/>
            </w:rPr>
            <w:t>Date published</w:t>
          </w:r>
        </w:p>
        <w:p w14:paraId="399146C7" w14:textId="67A529B7" w:rsidR="00E22DB2" w:rsidRPr="00485037" w:rsidRDefault="000F5C43" w:rsidP="00E22DB2">
          <w:pPr>
            <w:pStyle w:val="Header"/>
            <w:bidi w:val="0"/>
            <w:jc w:val="center"/>
            <w:rPr>
              <w:rFonts w:ascii="Cambria" w:hAnsi="Cambria"/>
            </w:rPr>
          </w:pPr>
          <w:r>
            <w:rPr>
              <w:rFonts w:ascii="Cambria" w:hAnsi="Cambria"/>
            </w:rPr>
            <w:t>August</w:t>
          </w:r>
          <w:r w:rsidR="003F599C">
            <w:rPr>
              <w:rFonts w:ascii="Cambria" w:hAnsi="Cambria"/>
            </w:rPr>
            <w:t xml:space="preserve"> </w:t>
          </w:r>
          <w:r>
            <w:rPr>
              <w:rFonts w:ascii="Cambria" w:hAnsi="Cambria"/>
            </w:rPr>
            <w:t>3, 1997</w:t>
          </w:r>
        </w:p>
      </w:tc>
      <w:tc>
        <w:tcPr>
          <w:tcW w:w="1836" w:type="dxa"/>
        </w:tcPr>
        <w:p w14:paraId="15551078" w14:textId="77777777" w:rsidR="00E22DB2" w:rsidRPr="00485037" w:rsidRDefault="00E22DB2" w:rsidP="00E22DB2">
          <w:pPr>
            <w:pStyle w:val="Header"/>
            <w:bidi w:val="0"/>
            <w:jc w:val="center"/>
            <w:rPr>
              <w:rFonts w:ascii="Cambria" w:hAnsi="Cambria"/>
              <w:b/>
              <w:bCs/>
            </w:rPr>
          </w:pPr>
          <w:r w:rsidRPr="00485037">
            <w:rPr>
              <w:rFonts w:ascii="Cambria" w:hAnsi="Cambria"/>
              <w:b/>
              <w:bCs/>
              <w:u w:val="single"/>
            </w:rPr>
            <w:t>Directive No.</w:t>
          </w:r>
        </w:p>
        <w:p w14:paraId="7B658CB4" w14:textId="5906B4DE" w:rsidR="00E22DB2" w:rsidRPr="00485037" w:rsidRDefault="00E22DB2" w:rsidP="00E22DB2">
          <w:pPr>
            <w:pStyle w:val="Header"/>
            <w:bidi w:val="0"/>
            <w:jc w:val="center"/>
            <w:rPr>
              <w:rFonts w:ascii="Cambria" w:hAnsi="Cambria"/>
            </w:rPr>
          </w:pPr>
          <w:r w:rsidRPr="00485037">
            <w:rPr>
              <w:rFonts w:ascii="Cambria" w:hAnsi="Cambria"/>
            </w:rPr>
            <w:t>07-3</w:t>
          </w:r>
          <w:r w:rsidR="000F5C43">
            <w:rPr>
              <w:rFonts w:ascii="Cambria" w:hAnsi="Cambria"/>
            </w:rPr>
            <w:t>10</w:t>
          </w:r>
        </w:p>
      </w:tc>
    </w:tr>
    <w:tr w:rsidR="00270063" w:rsidRPr="00270063" w14:paraId="5D5E1C11" w14:textId="77777777" w:rsidTr="00975B3A">
      <w:trPr>
        <w:jc w:val="center"/>
      </w:trPr>
      <w:tc>
        <w:tcPr>
          <w:tcW w:w="3256" w:type="dxa"/>
          <w:tcBorders>
            <w:bottom w:val="single" w:sz="4" w:space="0" w:color="auto"/>
          </w:tcBorders>
        </w:tcPr>
        <w:p w14:paraId="505C2887" w14:textId="77777777" w:rsidR="00270063" w:rsidRPr="00270063" w:rsidRDefault="00270063" w:rsidP="00270063">
          <w:pPr>
            <w:pStyle w:val="Header"/>
            <w:bidi w:val="0"/>
            <w:spacing w:after="20"/>
            <w:rPr>
              <w:rFonts w:ascii="Cambria" w:hAnsi="Cambria"/>
              <w:b/>
              <w:bCs/>
              <w:sz w:val="20"/>
              <w:szCs w:val="20"/>
              <w:u w:val="single"/>
            </w:rPr>
          </w:pPr>
        </w:p>
      </w:tc>
      <w:tc>
        <w:tcPr>
          <w:tcW w:w="997" w:type="dxa"/>
          <w:tcBorders>
            <w:bottom w:val="single" w:sz="4" w:space="0" w:color="auto"/>
          </w:tcBorders>
        </w:tcPr>
        <w:p w14:paraId="7A8B9250" w14:textId="77777777" w:rsidR="00270063" w:rsidRPr="00270063" w:rsidRDefault="00270063" w:rsidP="00270063">
          <w:pPr>
            <w:pStyle w:val="Header"/>
            <w:bidi w:val="0"/>
            <w:spacing w:after="20"/>
            <w:rPr>
              <w:rFonts w:ascii="Cambria" w:hAnsi="Cambria"/>
              <w:b/>
              <w:bCs/>
              <w:sz w:val="20"/>
              <w:szCs w:val="20"/>
            </w:rPr>
          </w:pPr>
        </w:p>
      </w:tc>
      <w:tc>
        <w:tcPr>
          <w:tcW w:w="1523" w:type="dxa"/>
          <w:tcBorders>
            <w:bottom w:val="single" w:sz="4" w:space="0" w:color="auto"/>
          </w:tcBorders>
        </w:tcPr>
        <w:p w14:paraId="57790E02" w14:textId="77777777" w:rsidR="00270063" w:rsidRPr="00270063" w:rsidRDefault="00270063" w:rsidP="00270063">
          <w:pPr>
            <w:pStyle w:val="Header"/>
            <w:bidi w:val="0"/>
            <w:spacing w:after="20"/>
            <w:jc w:val="center"/>
            <w:rPr>
              <w:rFonts w:ascii="Cambria" w:hAnsi="Cambria"/>
              <w:b/>
              <w:bCs/>
              <w:sz w:val="20"/>
              <w:szCs w:val="20"/>
              <w:u w:val="single"/>
            </w:rPr>
          </w:pPr>
        </w:p>
      </w:tc>
      <w:tc>
        <w:tcPr>
          <w:tcW w:w="2016" w:type="dxa"/>
          <w:tcBorders>
            <w:bottom w:val="single" w:sz="4" w:space="0" w:color="auto"/>
          </w:tcBorders>
        </w:tcPr>
        <w:p w14:paraId="5A1B41CF" w14:textId="7B924384" w:rsidR="00270063" w:rsidRPr="00270063" w:rsidRDefault="00270063" w:rsidP="00270063">
          <w:pPr>
            <w:pStyle w:val="Header"/>
            <w:bidi w:val="0"/>
            <w:spacing w:after="20"/>
            <w:jc w:val="center"/>
            <w:rPr>
              <w:rFonts w:ascii="Cambria" w:hAnsi="Cambria"/>
              <w:sz w:val="20"/>
              <w:szCs w:val="20"/>
            </w:rPr>
          </w:pPr>
          <w:r w:rsidRPr="00270063">
            <w:rPr>
              <w:rFonts w:ascii="Cambria" w:hAnsi="Cambria"/>
              <w:sz w:val="20"/>
              <w:szCs w:val="20"/>
            </w:rPr>
            <w:t>Updated</w:t>
          </w:r>
          <w:r w:rsidR="000F5C43">
            <w:rPr>
              <w:rFonts w:ascii="Cambria" w:hAnsi="Cambria"/>
              <w:sz w:val="20"/>
              <w:szCs w:val="20"/>
            </w:rPr>
            <w:t xml:space="preserve">: </w:t>
          </w:r>
          <w:r w:rsidRPr="00270063">
            <w:rPr>
              <w:rFonts w:ascii="Cambria" w:hAnsi="Cambria"/>
              <w:sz w:val="20"/>
              <w:szCs w:val="20"/>
            </w:rPr>
            <w:t xml:space="preserve"> May 2015</w:t>
          </w:r>
        </w:p>
      </w:tc>
      <w:tc>
        <w:tcPr>
          <w:tcW w:w="1836" w:type="dxa"/>
          <w:tcBorders>
            <w:bottom w:val="single" w:sz="4" w:space="0" w:color="auto"/>
          </w:tcBorders>
        </w:tcPr>
        <w:p w14:paraId="62B88F4B" w14:textId="77777777" w:rsidR="00270063" w:rsidRPr="00270063" w:rsidRDefault="00270063" w:rsidP="00270063">
          <w:pPr>
            <w:pStyle w:val="Header"/>
            <w:bidi w:val="0"/>
            <w:spacing w:after="20"/>
            <w:jc w:val="center"/>
            <w:rPr>
              <w:rFonts w:ascii="Cambria" w:hAnsi="Cambria"/>
              <w:b/>
              <w:bCs/>
              <w:sz w:val="20"/>
              <w:szCs w:val="20"/>
              <w:u w:val="single"/>
            </w:rPr>
          </w:pPr>
        </w:p>
      </w:tc>
    </w:tr>
    <w:tr w:rsidR="00E22DB2" w:rsidRPr="00485037" w14:paraId="7685CBDB" w14:textId="77777777" w:rsidTr="00975B3A">
      <w:trPr>
        <w:jc w:val="center"/>
      </w:trPr>
      <w:tc>
        <w:tcPr>
          <w:tcW w:w="9628" w:type="dxa"/>
          <w:gridSpan w:val="5"/>
          <w:tcBorders>
            <w:top w:val="single" w:sz="4" w:space="0" w:color="auto"/>
            <w:bottom w:val="single" w:sz="4" w:space="0" w:color="auto"/>
          </w:tcBorders>
        </w:tcPr>
        <w:p w14:paraId="35D2E41C" w14:textId="77777777" w:rsidR="00E22DB2" w:rsidRPr="00485037" w:rsidRDefault="00E22DB2" w:rsidP="00E22DB2">
          <w:pPr>
            <w:pStyle w:val="Header"/>
            <w:tabs>
              <w:tab w:val="right" w:pos="611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rPr>
            <w:tab/>
          </w:r>
          <w:r w:rsidRPr="00485037">
            <w:rPr>
              <w:rFonts w:ascii="Cambria" w:hAnsi="Cambria"/>
              <w:b/>
              <w:bCs/>
              <w:sz w:val="26"/>
              <w:szCs w:val="26"/>
            </w:rPr>
            <w:t>University Safety</w:t>
          </w:r>
        </w:p>
      </w:tc>
    </w:tr>
  </w:tbl>
  <w:p w14:paraId="05EA7E8F" w14:textId="579021C0" w:rsidR="00E22DB2" w:rsidRPr="00270063" w:rsidRDefault="00270063" w:rsidP="00270063">
    <w:pPr>
      <w:pStyle w:val="Header"/>
      <w:bidi w:val="0"/>
      <w:jc w:val="right"/>
      <w:rPr>
        <w:rFonts w:ascii="Cambria" w:hAnsi="Cambria"/>
        <w:sz w:val="18"/>
        <w:szCs w:val="18"/>
      </w:rPr>
    </w:pPr>
    <w:r w:rsidRPr="00270063">
      <w:rPr>
        <w:rFonts w:ascii="Cambria" w:hAnsi="Cambria"/>
        <w:sz w:val="18"/>
        <w:szCs w:val="18"/>
      </w:rPr>
      <w:t>152154</w:t>
    </w:r>
  </w:p>
  <w:p w14:paraId="7213A1A6" w14:textId="77777777" w:rsidR="002755D4" w:rsidRDefault="002755D4" w:rsidP="00E22DB2">
    <w:pPr>
      <w:pStyle w:val="Header"/>
      <w:bidi w:val="0"/>
      <w:rPr>
        <w:szCs w:val="24"/>
        <w:rtl/>
      </w:rPr>
    </w:pPr>
  </w:p>
  <w:p w14:paraId="762D3F88" w14:textId="77777777" w:rsidR="002755D4" w:rsidRDefault="002755D4" w:rsidP="00E22DB2">
    <w:pPr>
      <w:pStyle w:val="Header"/>
      <w:bidi w:val="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FF30944"/>
    <w:multiLevelType w:val="multilevel"/>
    <w:tmpl w:val="2F1A87DA"/>
    <w:lvl w:ilvl="0">
      <w:start w:val="1"/>
      <w:numFmt w:val="decimal"/>
      <w:lvlText w:val="%1."/>
      <w:lvlJc w:val="left"/>
      <w:pPr>
        <w:ind w:left="3054"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79"/>
    <w:rsid w:val="00027666"/>
    <w:rsid w:val="00092262"/>
    <w:rsid w:val="000E3C08"/>
    <w:rsid w:val="000F5C43"/>
    <w:rsid w:val="001229D5"/>
    <w:rsid w:val="001319B8"/>
    <w:rsid w:val="001357F1"/>
    <w:rsid w:val="001D0976"/>
    <w:rsid w:val="00270063"/>
    <w:rsid w:val="002755D4"/>
    <w:rsid w:val="002D4F41"/>
    <w:rsid w:val="002E72BD"/>
    <w:rsid w:val="00301D69"/>
    <w:rsid w:val="00303FB4"/>
    <w:rsid w:val="0032197B"/>
    <w:rsid w:val="00393557"/>
    <w:rsid w:val="003F599C"/>
    <w:rsid w:val="00404738"/>
    <w:rsid w:val="00415D8F"/>
    <w:rsid w:val="00444F58"/>
    <w:rsid w:val="0049066F"/>
    <w:rsid w:val="0049141B"/>
    <w:rsid w:val="004C53E0"/>
    <w:rsid w:val="005A508F"/>
    <w:rsid w:val="005A5629"/>
    <w:rsid w:val="005A78B8"/>
    <w:rsid w:val="005D5D78"/>
    <w:rsid w:val="007D6951"/>
    <w:rsid w:val="00885481"/>
    <w:rsid w:val="009378D5"/>
    <w:rsid w:val="00953415"/>
    <w:rsid w:val="009A3C67"/>
    <w:rsid w:val="009B4879"/>
    <w:rsid w:val="00A22DA6"/>
    <w:rsid w:val="00A30315"/>
    <w:rsid w:val="00A64500"/>
    <w:rsid w:val="00AC7D8E"/>
    <w:rsid w:val="00AF268B"/>
    <w:rsid w:val="00B14040"/>
    <w:rsid w:val="00B4041E"/>
    <w:rsid w:val="00B568F6"/>
    <w:rsid w:val="00BA5C37"/>
    <w:rsid w:val="00BB2034"/>
    <w:rsid w:val="00BB5163"/>
    <w:rsid w:val="00BB7BD9"/>
    <w:rsid w:val="00C2309E"/>
    <w:rsid w:val="00C85EE6"/>
    <w:rsid w:val="00C96B5A"/>
    <w:rsid w:val="00D56F33"/>
    <w:rsid w:val="00DA529D"/>
    <w:rsid w:val="00DE141D"/>
    <w:rsid w:val="00E12205"/>
    <w:rsid w:val="00E22DB2"/>
    <w:rsid w:val="00E3540D"/>
    <w:rsid w:val="00FA04C6"/>
    <w:rsid w:val="00FB71A2"/>
    <w:rsid w:val="00FD2B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F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E22DB2"/>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E22DB2"/>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E22DB2"/>
    <w:rPr>
      <w:rFonts w:cs="David"/>
      <w:noProof/>
      <w:sz w:val="24"/>
      <w:szCs w:val="22"/>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E22DB2"/>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E22DB2"/>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E22DB2"/>
    <w:rPr>
      <w:rFonts w:cs="David"/>
      <w:noProof/>
      <w:sz w:val="24"/>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Safety</Template>
  <TotalTime>173</TotalTime>
  <Pages>3</Pages>
  <Words>795</Words>
  <Characters>4534</Characters>
  <Application>Microsoft Office Word</Application>
  <DocSecurity>0</DocSecurity>
  <Lines>37</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נוהל 07-310 פינוי פסולת כימית ממעבדות</vt:lpstr>
      <vt:lpstr>נוהל 07-310 פינוי פסולת כימית ממעבדות</vt:lpstr>
    </vt:vector>
  </TitlesOfParts>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07-310 פינוי פסולת כימית ממעבדות</dc:title>
  <dc:subject>152154</dc:subject>
  <dc:creator>user</dc:creator>
  <cp:keywords>מעודכן מאי 2015</cp:keywords>
  <cp:lastModifiedBy>Michele Sagir</cp:lastModifiedBy>
  <cp:revision>18</cp:revision>
  <cp:lastPrinted>2015-06-10T07:56:00Z</cp:lastPrinted>
  <dcterms:created xsi:type="dcterms:W3CDTF">2020-11-12T13:03:00Z</dcterms:created>
  <dcterms:modified xsi:type="dcterms:W3CDTF">2020-12-13T12:29:00Z</dcterms:modified>
</cp:coreProperties>
</file>